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03BC1" w14:textId="77777777" w:rsidR="00C70F88" w:rsidRDefault="00AC1128">
      <w:pPr>
        <w:spacing w:before="120" w:after="120"/>
        <w:ind w:right="4"/>
        <w:jc w:val="center"/>
        <w:rPr>
          <w:rFonts w:ascii="Calibri" w:eastAsia="Calibri" w:hAnsi="Calibri" w:cs="Calibri"/>
          <w:b/>
          <w:color w:val="000000"/>
          <w:sz w:val="32"/>
          <w:szCs w:val="32"/>
        </w:rPr>
      </w:pPr>
      <w:r>
        <w:rPr>
          <w:rFonts w:ascii="Calibri" w:eastAsia="Calibri" w:hAnsi="Calibri" w:cs="Calibri"/>
          <w:b/>
          <w:color w:val="000000"/>
          <w:sz w:val="32"/>
          <w:szCs w:val="32"/>
        </w:rPr>
        <w:t xml:space="preserve">ERUA Alliance Project Summary </w:t>
      </w:r>
    </w:p>
    <w:p w14:paraId="46514F41" w14:textId="77777777" w:rsidR="00C70F88" w:rsidRDefault="00AC1128">
      <w:pPr>
        <w:spacing w:before="120" w:after="120"/>
        <w:ind w:right="4"/>
        <w:jc w:val="center"/>
        <w:rPr>
          <w:rFonts w:ascii="Calibri" w:eastAsia="Calibri" w:hAnsi="Calibri" w:cs="Calibri"/>
          <w:color w:val="000000"/>
        </w:rPr>
      </w:pPr>
      <w:r>
        <w:rPr>
          <w:rFonts w:ascii="Calibri" w:eastAsia="Calibri" w:hAnsi="Calibri" w:cs="Calibri"/>
          <w:color w:val="000000"/>
        </w:rPr>
        <w:t>2023 Erasmus Call + Call for Proposals</w:t>
      </w:r>
    </w:p>
    <w:p w14:paraId="385A38EB" w14:textId="77777777" w:rsidR="00C70F88" w:rsidRDefault="00AC1128">
      <w:pPr>
        <w:spacing w:after="120"/>
        <w:ind w:right="4"/>
        <w:jc w:val="both"/>
        <w:rPr>
          <w:rFonts w:ascii="Calibri" w:eastAsia="Calibri" w:hAnsi="Calibri" w:cs="Calibri"/>
          <w:b/>
          <w:color w:val="000000"/>
        </w:rPr>
      </w:pPr>
      <w:r>
        <w:rPr>
          <w:rFonts w:ascii="Calibri" w:eastAsia="Calibri" w:hAnsi="Calibri" w:cs="Calibri"/>
          <w:b/>
          <w:color w:val="000000"/>
        </w:rPr>
        <w:t>Building a renewed ERUA through 3 Specific Objectives and 6</w:t>
      </w:r>
      <w:r>
        <w:t xml:space="preserve"> </w:t>
      </w:r>
      <w:r>
        <w:rPr>
          <w:rFonts w:ascii="Calibri" w:eastAsia="Calibri" w:hAnsi="Calibri" w:cs="Calibri"/>
          <w:b/>
          <w:color w:val="000000"/>
        </w:rPr>
        <w:t>Flagship</w:t>
      </w:r>
      <w:r>
        <w:t xml:space="preserve"> </w:t>
      </w:r>
      <w:r>
        <w:rPr>
          <w:rFonts w:ascii="Calibri" w:eastAsia="Calibri" w:hAnsi="Calibri" w:cs="Calibri"/>
          <w:b/>
          <w:color w:val="000000"/>
        </w:rPr>
        <w:t xml:space="preserve">Initiatives </w:t>
      </w:r>
    </w:p>
    <w:p w14:paraId="78467412" w14:textId="77777777" w:rsidR="00C70F88" w:rsidRDefault="00AC1128">
      <w:pPr>
        <w:spacing w:after="120"/>
        <w:ind w:right="4"/>
        <w:jc w:val="both"/>
        <w:rPr>
          <w:rFonts w:ascii="Calibri" w:eastAsia="Calibri" w:hAnsi="Calibri" w:cs="Calibri"/>
          <w:color w:val="000000"/>
          <w:sz w:val="22"/>
          <w:szCs w:val="22"/>
        </w:rPr>
      </w:pPr>
      <w:r>
        <w:rPr>
          <w:rFonts w:ascii="Calibri" w:eastAsia="Calibri" w:hAnsi="Calibri" w:cs="Calibri"/>
          <w:color w:val="000000"/>
          <w:sz w:val="22"/>
          <w:szCs w:val="22"/>
        </w:rPr>
        <w:t xml:space="preserve">As a unique European University that focuses on social sciences, humanities and arts and pushes for their interactivity with science, technology engineering and </w:t>
      </w:r>
      <w:proofErr w:type="spellStart"/>
      <w:r>
        <w:rPr>
          <w:rFonts w:ascii="Calibri" w:eastAsia="Calibri" w:hAnsi="Calibri" w:cs="Calibri"/>
          <w:color w:val="000000"/>
          <w:sz w:val="22"/>
          <w:szCs w:val="22"/>
        </w:rPr>
        <w:t>maths</w:t>
      </w:r>
      <w:proofErr w:type="spellEnd"/>
      <w:r>
        <w:rPr>
          <w:rFonts w:ascii="Calibri" w:eastAsia="Calibri" w:hAnsi="Calibri" w:cs="Calibri"/>
          <w:color w:val="000000"/>
          <w:sz w:val="22"/>
          <w:szCs w:val="22"/>
        </w:rPr>
        <w:t xml:space="preserve"> fields, </w:t>
      </w:r>
      <w:r>
        <w:rPr>
          <w:rFonts w:ascii="Calibri" w:eastAsia="Calibri" w:hAnsi="Calibri" w:cs="Calibri"/>
          <w:b/>
          <w:color w:val="000000"/>
          <w:sz w:val="22"/>
          <w:szCs w:val="22"/>
        </w:rPr>
        <w:t>ERUA is well placed to contribute to global challenges through innovative and interdisciplinary perspectives.</w:t>
      </w:r>
      <w:r>
        <w:rPr>
          <w:rFonts w:ascii="Calibri" w:eastAsia="Calibri" w:hAnsi="Calibri" w:cs="Calibri"/>
          <w:sz w:val="22"/>
          <w:szCs w:val="22"/>
        </w:rPr>
        <w:t xml:space="preserve"> By pooling our individual strengths and past achievements, we will increase our societal impact by creating a </w:t>
      </w:r>
      <w:r>
        <w:rPr>
          <w:rFonts w:ascii="Calibri" w:eastAsia="Calibri" w:hAnsi="Calibri" w:cs="Calibri"/>
          <w:b/>
          <w:sz w:val="22"/>
          <w:szCs w:val="22"/>
        </w:rPr>
        <w:t xml:space="preserve">powerful academic hub for critical and innovative contribution to a free, more equitable and democratic Europe. </w:t>
      </w:r>
      <w:r>
        <w:rPr>
          <w:rFonts w:ascii="Calibri" w:eastAsia="Calibri" w:hAnsi="Calibri" w:cs="Calibri"/>
          <w:sz w:val="22"/>
          <w:szCs w:val="22"/>
        </w:rPr>
        <w:t>We believe that to shape peaceful, just, and sustainable futures, higher education and research must be substantially transformed.</w:t>
      </w:r>
      <w:r>
        <w:rPr>
          <w:rFonts w:ascii="Calibri" w:eastAsia="Calibri" w:hAnsi="Calibri" w:cs="Calibri"/>
          <w:color w:val="000000"/>
          <w:sz w:val="22"/>
          <w:szCs w:val="22"/>
        </w:rPr>
        <w:t xml:space="preserve"> Additionally, ERUA aspires over the coming years to be an </w:t>
      </w:r>
      <w:r>
        <w:rPr>
          <w:rFonts w:ascii="Calibri" w:eastAsia="Calibri" w:hAnsi="Calibri" w:cs="Calibri"/>
          <w:b/>
          <w:color w:val="000000"/>
          <w:sz w:val="22"/>
          <w:szCs w:val="22"/>
        </w:rPr>
        <w:t>integrated European community that will collaborate to change the landscape of pedagogical reform, research and service to societies in Europe</w:t>
      </w:r>
      <w:r>
        <w:rPr>
          <w:rFonts w:ascii="Calibri" w:eastAsia="Calibri" w:hAnsi="Calibri" w:cs="Calibri"/>
          <w:color w:val="000000"/>
          <w:sz w:val="22"/>
          <w:szCs w:val="22"/>
        </w:rPr>
        <w:t>.</w:t>
      </w:r>
    </w:p>
    <w:p w14:paraId="41DFDB89" w14:textId="77777777" w:rsidR="00C70F88" w:rsidRDefault="00AC1128">
      <w:pPr>
        <w:spacing w:after="120"/>
        <w:ind w:right="4"/>
        <w:jc w:val="both"/>
        <w:rPr>
          <w:rFonts w:ascii="Calibri" w:eastAsia="Calibri" w:hAnsi="Calibri" w:cs="Calibri"/>
          <w:color w:val="000000"/>
          <w:sz w:val="22"/>
          <w:szCs w:val="22"/>
        </w:rPr>
      </w:pPr>
      <w:r>
        <w:rPr>
          <w:rFonts w:ascii="Calibri" w:eastAsia="Calibri" w:hAnsi="Calibri" w:cs="Calibri"/>
          <w:color w:val="000000"/>
          <w:sz w:val="22"/>
          <w:szCs w:val="22"/>
        </w:rPr>
        <w:t xml:space="preserve">Over the previous funding period, </w:t>
      </w:r>
      <w:r>
        <w:rPr>
          <w:rFonts w:ascii="Calibri" w:eastAsia="Calibri" w:hAnsi="Calibri" w:cs="Calibri"/>
          <w:b/>
          <w:color w:val="000000"/>
          <w:sz w:val="22"/>
          <w:szCs w:val="22"/>
        </w:rPr>
        <w:t>ERUA has re-imagined higher education and research, learning pathways to build an ERUA community and campus with 5 partners</w:t>
      </w:r>
      <w:r>
        <w:rPr>
          <w:rFonts w:ascii="Calibri" w:eastAsia="Calibri" w:hAnsi="Calibri" w:cs="Calibri"/>
          <w:color w:val="000000"/>
          <w:sz w:val="22"/>
          <w:szCs w:val="22"/>
        </w:rPr>
        <w:t xml:space="preserve">. This consortium has allowed us to build a community, promote our critical ideas and develop our sustainable conception of academia. </w:t>
      </w:r>
    </w:p>
    <w:p w14:paraId="43F6007E" w14:textId="77777777" w:rsidR="00C70F88" w:rsidRDefault="00AC1128">
      <w:pPr>
        <w:widowControl w:val="0"/>
        <w:spacing w:after="120"/>
        <w:ind w:right="4"/>
        <w:jc w:val="both"/>
      </w:pPr>
      <w:r>
        <w:rPr>
          <w:rFonts w:ascii="Calibri" w:eastAsia="Calibri" w:hAnsi="Calibri" w:cs="Calibri"/>
          <w:sz w:val="22"/>
          <w:szCs w:val="22"/>
        </w:rPr>
        <w:t xml:space="preserve">We have now </w:t>
      </w:r>
      <w:r>
        <w:rPr>
          <w:rFonts w:ascii="Calibri" w:eastAsia="Calibri" w:hAnsi="Calibri" w:cs="Calibri"/>
          <w:b/>
          <w:sz w:val="22"/>
          <w:szCs w:val="22"/>
        </w:rPr>
        <w:t>grown our network from 5 to 8 reformist universities</w:t>
      </w:r>
      <w:r>
        <w:rPr>
          <w:rFonts w:ascii="Calibri" w:eastAsia="Calibri" w:hAnsi="Calibri" w:cs="Calibri"/>
          <w:sz w:val="22"/>
          <w:szCs w:val="22"/>
        </w:rPr>
        <w:t xml:space="preserve"> including founding members </w:t>
      </w:r>
      <w:proofErr w:type="spellStart"/>
      <w:r>
        <w:rPr>
          <w:rFonts w:ascii="Calibri" w:eastAsia="Calibri" w:hAnsi="Calibri" w:cs="Calibri"/>
          <w:color w:val="000000"/>
          <w:sz w:val="22"/>
          <w:szCs w:val="22"/>
        </w:rPr>
        <w:t>Université</w:t>
      </w:r>
      <w:proofErr w:type="spellEnd"/>
      <w:r>
        <w:rPr>
          <w:rFonts w:ascii="Calibri" w:eastAsia="Calibri" w:hAnsi="Calibri" w:cs="Calibri"/>
          <w:color w:val="000000"/>
          <w:sz w:val="22"/>
          <w:szCs w:val="22"/>
        </w:rPr>
        <w:t xml:space="preserve"> Paris 8 Saint Vincennes-St Denis</w:t>
      </w:r>
      <w:r>
        <w:rPr>
          <w:rFonts w:ascii="Calibri" w:eastAsia="Calibri" w:hAnsi="Calibri" w:cs="Calibri"/>
          <w:sz w:val="22"/>
          <w:szCs w:val="22"/>
        </w:rPr>
        <w:t xml:space="preserve"> (UP8, France), </w:t>
      </w:r>
      <w:r>
        <w:rPr>
          <w:rFonts w:ascii="Calibri" w:eastAsia="Calibri" w:hAnsi="Calibri" w:cs="Calibri"/>
          <w:color w:val="000000"/>
          <w:sz w:val="22"/>
          <w:szCs w:val="22"/>
        </w:rPr>
        <w:t>New Bulgarian University (</w:t>
      </w:r>
      <w:r>
        <w:rPr>
          <w:rFonts w:ascii="Calibri" w:eastAsia="Calibri" w:hAnsi="Calibri" w:cs="Calibri"/>
          <w:sz w:val="22"/>
          <w:szCs w:val="22"/>
        </w:rPr>
        <w:t xml:space="preserve">NBU, Bulgaria), and University of the Aegean (UAEGEAN, Greece), and expanded to the East and South of Europe with our new partner universities SWPS Social Sciences and Humanities (SWPS, Poland), European University </w:t>
      </w:r>
      <w:proofErr w:type="spellStart"/>
      <w:r>
        <w:rPr>
          <w:rFonts w:ascii="Calibri" w:eastAsia="Calibri" w:hAnsi="Calibri" w:cs="Calibri"/>
          <w:sz w:val="22"/>
          <w:szCs w:val="22"/>
        </w:rPr>
        <w:t>Viadrina</w:t>
      </w:r>
      <w:proofErr w:type="spellEnd"/>
      <w:r>
        <w:rPr>
          <w:rFonts w:ascii="Calibri" w:eastAsia="Calibri" w:hAnsi="Calibri" w:cs="Calibri"/>
          <w:sz w:val="22"/>
          <w:szCs w:val="22"/>
        </w:rPr>
        <w:t xml:space="preserve"> (EUV, Germany), University of Macerata (UNIMC, Italy), Universidad de Las Palmas de Gran </w:t>
      </w:r>
      <w:proofErr w:type="spellStart"/>
      <w:r>
        <w:rPr>
          <w:rFonts w:ascii="Calibri" w:eastAsia="Calibri" w:hAnsi="Calibri" w:cs="Calibri"/>
          <w:sz w:val="22"/>
          <w:szCs w:val="22"/>
        </w:rPr>
        <w:t>Canaria</w:t>
      </w:r>
      <w:proofErr w:type="spellEnd"/>
      <w:r>
        <w:rPr>
          <w:rFonts w:ascii="Calibri" w:eastAsia="Calibri" w:hAnsi="Calibri" w:cs="Calibri"/>
          <w:sz w:val="22"/>
          <w:szCs w:val="22"/>
        </w:rPr>
        <w:t xml:space="preserve"> - (ULPGC, Spain) and </w:t>
      </w:r>
      <w:proofErr w:type="spellStart"/>
      <w:r>
        <w:rPr>
          <w:rFonts w:ascii="Calibri" w:eastAsia="Calibri" w:hAnsi="Calibri" w:cs="Calibri"/>
          <w:sz w:val="22"/>
          <w:szCs w:val="22"/>
        </w:rPr>
        <w:t>Mykolas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Romeris</w:t>
      </w:r>
      <w:proofErr w:type="spellEnd"/>
      <w:r>
        <w:rPr>
          <w:rFonts w:ascii="Calibri" w:eastAsia="Calibri" w:hAnsi="Calibri" w:cs="Calibri"/>
          <w:sz w:val="22"/>
          <w:szCs w:val="22"/>
        </w:rPr>
        <w:t xml:space="preserve"> University - (MRU, Lithuania). At the same time, founding members Universität Konstanz (UKON, Germany) </w:t>
      </w:r>
      <w:r>
        <w:rPr>
          <w:rFonts w:ascii="Calibri" w:eastAsia="Calibri" w:hAnsi="Calibri" w:cs="Calibri"/>
          <w:color w:val="000000"/>
          <w:sz w:val="22"/>
          <w:szCs w:val="22"/>
        </w:rPr>
        <w:t xml:space="preserve">and Roskilde University (RUC, Denmark) have moved from being full partners to associated partners. </w:t>
      </w:r>
    </w:p>
    <w:p w14:paraId="4F7DC6ED" w14:textId="77777777" w:rsidR="00C70F88" w:rsidRDefault="00AC1128">
      <w:pPr>
        <w:widowControl w:val="0"/>
        <w:spacing w:after="120"/>
        <w:ind w:right="4"/>
        <w:jc w:val="both"/>
        <w:rPr>
          <w:rFonts w:ascii="Calibri" w:eastAsia="Calibri" w:hAnsi="Calibri" w:cs="Calibri"/>
          <w:sz w:val="22"/>
          <w:szCs w:val="22"/>
        </w:rPr>
      </w:pPr>
      <w:r>
        <w:rPr>
          <w:rFonts w:ascii="Calibri" w:eastAsia="Calibri" w:hAnsi="Calibri" w:cs="Calibri"/>
          <w:sz w:val="22"/>
          <w:szCs w:val="22"/>
        </w:rPr>
        <w:t xml:space="preserve">By establishing our new Mission Statement and </w:t>
      </w:r>
      <w:proofErr w:type="spellStart"/>
      <w:r>
        <w:rPr>
          <w:rFonts w:ascii="Calibri" w:eastAsia="Calibri" w:hAnsi="Calibri" w:cs="Calibri"/>
          <w:sz w:val="22"/>
          <w:szCs w:val="22"/>
        </w:rPr>
        <w:t>harmonising</w:t>
      </w:r>
      <w:proofErr w:type="spellEnd"/>
      <w:r>
        <w:rPr>
          <w:rFonts w:ascii="Calibri" w:eastAsia="Calibri" w:hAnsi="Calibri" w:cs="Calibri"/>
          <w:sz w:val="22"/>
          <w:szCs w:val="22"/>
        </w:rPr>
        <w:t xml:space="preserve"> and understanding the needs of our members, for the coming period, we aim to build on our accomplishments (joint strategies and policies, mapping exercise in view of identifying good practices, as well as mobility and community building activities), by focusing on </w:t>
      </w:r>
      <w:r>
        <w:rPr>
          <w:rFonts w:ascii="Calibri" w:eastAsia="Calibri" w:hAnsi="Calibri" w:cs="Calibri"/>
          <w:b/>
          <w:sz w:val="22"/>
          <w:szCs w:val="22"/>
        </w:rPr>
        <w:t>3 specific objectives and 6 flagship initiatives</w:t>
      </w:r>
      <w:r>
        <w:rPr>
          <w:rFonts w:ascii="Calibri" w:eastAsia="Calibri" w:hAnsi="Calibri" w:cs="Calibri"/>
          <w:sz w:val="22"/>
          <w:szCs w:val="22"/>
        </w:rPr>
        <w:t xml:space="preserve"> that draw on the recommendations from the European Commission and external evaluators.</w:t>
      </w:r>
    </w:p>
    <w:p w14:paraId="2745542E" w14:textId="77777777" w:rsidR="00C70F88" w:rsidRDefault="00AC1128">
      <w:pPr>
        <w:widowControl w:val="0"/>
        <w:spacing w:after="200"/>
        <w:ind w:right="4"/>
        <w:jc w:val="center"/>
        <w:rPr>
          <w:rFonts w:ascii="Calibri" w:eastAsia="Calibri" w:hAnsi="Calibri" w:cs="Calibri"/>
          <w:sz w:val="22"/>
          <w:szCs w:val="22"/>
        </w:rPr>
        <w:sectPr w:rsidR="00C70F88" w:rsidSect="00664E42">
          <w:headerReference w:type="default" r:id="rId8"/>
          <w:footerReference w:type="default" r:id="rId9"/>
          <w:pgSz w:w="11906" w:h="16838"/>
          <w:pgMar w:top="1418" w:right="1819" w:bottom="1440" w:left="1440" w:header="142" w:footer="66" w:gutter="0"/>
          <w:pgNumType w:start="1"/>
          <w:cols w:space="720"/>
        </w:sectPr>
      </w:pPr>
      <w:r>
        <w:rPr>
          <w:rFonts w:ascii="Arial" w:eastAsia="Arial" w:hAnsi="Arial" w:cs="Arial"/>
          <w:noProof/>
          <w:sz w:val="18"/>
          <w:szCs w:val="18"/>
        </w:rPr>
        <w:drawing>
          <wp:inline distT="19050" distB="19050" distL="19050" distR="19050" wp14:anchorId="498C4670" wp14:editId="25771F11">
            <wp:extent cx="5490535" cy="28448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2006" b="2006"/>
                    <a:stretch>
                      <a:fillRect/>
                    </a:stretch>
                  </pic:blipFill>
                  <pic:spPr>
                    <a:xfrm>
                      <a:off x="0" y="0"/>
                      <a:ext cx="5490535" cy="2844800"/>
                    </a:xfrm>
                    <a:prstGeom prst="rect">
                      <a:avLst/>
                    </a:prstGeom>
                    <a:ln/>
                  </pic:spPr>
                </pic:pic>
              </a:graphicData>
            </a:graphic>
          </wp:inline>
        </w:drawing>
      </w:r>
      <w:bookmarkStart w:id="0" w:name="_GoBack"/>
      <w:bookmarkEnd w:id="0"/>
    </w:p>
    <w:p w14:paraId="29BB39A3" w14:textId="77777777" w:rsidR="00C70F88" w:rsidRDefault="00AC1128">
      <w:pPr>
        <w:spacing w:after="120"/>
        <w:ind w:right="4"/>
        <w:jc w:val="both"/>
        <w:rPr>
          <w:color w:val="000000"/>
        </w:rPr>
      </w:pPr>
      <w:r>
        <w:rPr>
          <w:rFonts w:ascii="Calibri" w:eastAsia="Calibri" w:hAnsi="Calibri" w:cs="Calibri"/>
          <w:b/>
          <w:color w:val="000000"/>
        </w:rPr>
        <w:lastRenderedPageBreak/>
        <w:t>Who is ERUA - standing on the edge</w:t>
      </w:r>
    </w:p>
    <w:p w14:paraId="0E9EDC4A" w14:textId="77777777" w:rsidR="00C70F88" w:rsidRDefault="00AC1128">
      <w:pPr>
        <w:widowControl w:val="0"/>
        <w:spacing w:after="120"/>
        <w:ind w:right="6"/>
        <w:jc w:val="both"/>
        <w:rPr>
          <w:rFonts w:ascii="Calibri" w:eastAsia="Calibri" w:hAnsi="Calibri" w:cs="Calibri"/>
          <w:sz w:val="22"/>
          <w:szCs w:val="22"/>
        </w:rPr>
      </w:pPr>
      <w:r>
        <w:rPr>
          <w:rFonts w:ascii="Calibri" w:eastAsia="Calibri" w:hAnsi="Calibri" w:cs="Calibri"/>
          <w:sz w:val="22"/>
          <w:szCs w:val="22"/>
        </w:rPr>
        <w:t xml:space="preserve">ERUA integrates </w:t>
      </w:r>
      <w:r>
        <w:rPr>
          <w:rFonts w:ascii="Calibri" w:eastAsia="Calibri" w:hAnsi="Calibri" w:cs="Calibri"/>
          <w:b/>
          <w:sz w:val="22"/>
          <w:szCs w:val="22"/>
        </w:rPr>
        <w:t>8 universities from 8 different countries</w:t>
      </w:r>
      <w:r>
        <w:rPr>
          <w:rFonts w:ascii="Calibri" w:eastAsia="Calibri" w:hAnsi="Calibri" w:cs="Calibri"/>
          <w:sz w:val="22"/>
          <w:szCs w:val="22"/>
        </w:rPr>
        <w:t xml:space="preserve"> in Europe’s East, West, North and South with a strong focus on Eastern Europe represented by SWPS and NBU and the South, which is represented by the UAEGEAN, ULPGC, and UNIMC. This focus is balanced in the West by UP8, and EUV, and rounded up in the North by MRU. All our members have a strong background in the Social Sciences, Humanities and Arts, while UAEGEAN and ULPGC also cover natural sciences and engineering. </w:t>
      </w:r>
      <w:r>
        <w:rPr>
          <w:rFonts w:ascii="Calibri" w:eastAsia="Calibri" w:hAnsi="Calibri" w:cs="Calibri"/>
          <w:color w:val="000000"/>
          <w:sz w:val="22"/>
          <w:szCs w:val="22"/>
        </w:rPr>
        <w:t xml:space="preserve">This expansion of ERUA from 5 to 8 partners has been conducted based on common reformist values, existing collaborations, strong affinities as well as geographical balance. </w:t>
      </w:r>
      <w:r>
        <w:rPr>
          <w:noProof/>
        </w:rPr>
        <w:drawing>
          <wp:anchor distT="0" distB="0" distL="114300" distR="114300" simplePos="0" relativeHeight="251658240" behindDoc="0" locked="0" layoutInCell="1" hidden="0" allowOverlap="1" wp14:anchorId="65EF83A0" wp14:editId="309970A9">
            <wp:simplePos x="0" y="0"/>
            <wp:positionH relativeFrom="column">
              <wp:posOffset>2847975</wp:posOffset>
            </wp:positionH>
            <wp:positionV relativeFrom="paragraph">
              <wp:posOffset>114300</wp:posOffset>
            </wp:positionV>
            <wp:extent cx="2600325" cy="2403059"/>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00325" cy="2403059"/>
                    </a:xfrm>
                    <a:prstGeom prst="rect">
                      <a:avLst/>
                    </a:prstGeom>
                    <a:ln/>
                  </pic:spPr>
                </pic:pic>
              </a:graphicData>
            </a:graphic>
          </wp:anchor>
        </w:drawing>
      </w:r>
    </w:p>
    <w:p w14:paraId="7F75AD97" w14:textId="77777777" w:rsidR="00C70F88" w:rsidRDefault="00AC1128">
      <w:pPr>
        <w:widowControl w:val="0"/>
        <w:spacing w:after="120"/>
        <w:ind w:right="6"/>
        <w:jc w:val="both"/>
        <w:rPr>
          <w:rFonts w:ascii="Calibri" w:eastAsia="Calibri" w:hAnsi="Calibri" w:cs="Calibri"/>
          <w:sz w:val="22"/>
          <w:szCs w:val="22"/>
        </w:rPr>
      </w:pPr>
      <w:r>
        <w:rPr>
          <w:rFonts w:ascii="Calibri" w:eastAsia="Calibri" w:hAnsi="Calibri" w:cs="Calibri"/>
          <w:sz w:val="22"/>
          <w:szCs w:val="22"/>
        </w:rPr>
        <w:t>We are young universities, 6 of our 8 members being founded or re-established in the 1980s or 90s. Each was born (or reborn in the case of EUV and UNIMC) out of the need to address urgent problems and challenges, which more traditional universities were unable to tackle or chose to ignore. Those challenges were diverse: the turmoil of political unrest with particular importance of the Humanities and Arts (UP8, UNIMC), geographical isolation and the ensuing need for suitable means for development (UAEGEAN and ULPGC), and the deep changes in the wake of the fall of the Soviet Union (NBU, SWPS, EUV, and MRU). However diverse these challenges, though, they all had in common that they required the respective university to be critical vis-à-vis established ways to work, and established methods of generating impact.</w:t>
      </w:r>
    </w:p>
    <w:p w14:paraId="60916839" w14:textId="77777777" w:rsidR="00C70F88" w:rsidRDefault="00AC1128">
      <w:pPr>
        <w:widowControl w:val="0"/>
        <w:spacing w:after="120"/>
        <w:ind w:right="6"/>
        <w:jc w:val="both"/>
        <w:rPr>
          <w:rFonts w:ascii="Calibri" w:eastAsia="Calibri" w:hAnsi="Calibri" w:cs="Calibri"/>
          <w:sz w:val="22"/>
          <w:szCs w:val="22"/>
        </w:rPr>
      </w:pPr>
      <w:r>
        <w:rPr>
          <w:rFonts w:ascii="Calibri" w:eastAsia="Calibri" w:hAnsi="Calibri" w:cs="Calibri"/>
          <w:sz w:val="22"/>
          <w:szCs w:val="22"/>
        </w:rPr>
        <w:t xml:space="preserve">As </w:t>
      </w:r>
      <w:r>
        <w:rPr>
          <w:rFonts w:ascii="Calibri" w:eastAsia="Calibri" w:hAnsi="Calibri" w:cs="Calibri"/>
          <w:b/>
          <w:sz w:val="22"/>
          <w:szCs w:val="22"/>
        </w:rPr>
        <w:t>reform universities</w:t>
      </w:r>
      <w:r>
        <w:rPr>
          <w:rFonts w:ascii="Calibri" w:eastAsia="Calibri" w:hAnsi="Calibri" w:cs="Calibri"/>
          <w:sz w:val="22"/>
          <w:szCs w:val="22"/>
        </w:rPr>
        <w:t xml:space="preserve">, we are thus </w:t>
      </w:r>
      <w:r>
        <w:rPr>
          <w:rFonts w:ascii="Calibri" w:eastAsia="Calibri" w:hAnsi="Calibri" w:cs="Calibri"/>
          <w:b/>
          <w:sz w:val="22"/>
          <w:szCs w:val="22"/>
        </w:rPr>
        <w:t>collectively committed to cultivate an inclusive, experimental, innovative and socially oriented learning environment</w:t>
      </w:r>
      <w:r>
        <w:rPr>
          <w:rFonts w:ascii="Calibri" w:eastAsia="Calibri" w:hAnsi="Calibri" w:cs="Calibri"/>
          <w:sz w:val="22"/>
          <w:szCs w:val="22"/>
        </w:rPr>
        <w:t xml:space="preserve">. Our Alliance is particularly </w:t>
      </w:r>
      <w:r>
        <w:rPr>
          <w:rFonts w:ascii="Calibri" w:eastAsia="Calibri" w:hAnsi="Calibri" w:cs="Calibri"/>
          <w:b/>
          <w:sz w:val="22"/>
          <w:szCs w:val="22"/>
        </w:rPr>
        <w:t>strong in Humanities, Social Sciences and the Arts</w:t>
      </w:r>
      <w:r>
        <w:rPr>
          <w:rFonts w:ascii="Calibri" w:eastAsia="Calibri" w:hAnsi="Calibri" w:cs="Calibri"/>
          <w:sz w:val="22"/>
          <w:szCs w:val="22"/>
        </w:rPr>
        <w:t>, and this enables us to develop creative approaches to higher education and research, and through these strong fundamentals, we are ready to fully engage in educational reform. UAEGEAN and ULPGC also provide a disciplinary opening and opportunity to engage in a dialogue with the STEM disciplines within the alliance.</w:t>
      </w:r>
    </w:p>
    <w:p w14:paraId="455841FA" w14:textId="77777777" w:rsidR="00C70F88" w:rsidRDefault="00AC1128">
      <w:pPr>
        <w:widowControl w:val="0"/>
        <w:spacing w:after="120"/>
        <w:ind w:right="6"/>
        <w:jc w:val="both"/>
        <w:rPr>
          <w:rFonts w:ascii="Calibri" w:eastAsia="Calibri" w:hAnsi="Calibri" w:cs="Calibri"/>
          <w:sz w:val="22"/>
          <w:szCs w:val="22"/>
        </w:rPr>
      </w:pPr>
      <w:r>
        <w:rPr>
          <w:rFonts w:ascii="Calibri" w:eastAsia="Calibri" w:hAnsi="Calibri" w:cs="Calibri"/>
          <w:sz w:val="22"/>
          <w:szCs w:val="22"/>
        </w:rPr>
        <w:t xml:space="preserve">We defend a strong </w:t>
      </w:r>
      <w:r>
        <w:rPr>
          <w:rFonts w:ascii="Calibri" w:eastAsia="Calibri" w:hAnsi="Calibri" w:cs="Calibri"/>
          <w:b/>
          <w:sz w:val="22"/>
          <w:szCs w:val="22"/>
        </w:rPr>
        <w:t>student-</w:t>
      </w:r>
      <w:proofErr w:type="spellStart"/>
      <w:r>
        <w:rPr>
          <w:rFonts w:ascii="Calibri" w:eastAsia="Calibri" w:hAnsi="Calibri" w:cs="Calibri"/>
          <w:b/>
          <w:sz w:val="22"/>
          <w:szCs w:val="22"/>
        </w:rPr>
        <w:t>centred</w:t>
      </w:r>
      <w:proofErr w:type="spellEnd"/>
      <w:r>
        <w:rPr>
          <w:rFonts w:ascii="Calibri" w:eastAsia="Calibri" w:hAnsi="Calibri" w:cs="Calibri"/>
          <w:b/>
          <w:sz w:val="22"/>
          <w:szCs w:val="22"/>
        </w:rPr>
        <w:t xml:space="preserve"> focus</w:t>
      </w:r>
      <w:r>
        <w:rPr>
          <w:rFonts w:ascii="Calibri" w:eastAsia="Calibri" w:hAnsi="Calibri" w:cs="Calibri"/>
          <w:sz w:val="22"/>
          <w:szCs w:val="22"/>
        </w:rPr>
        <w:t xml:space="preserve"> at the core of our academic reform approach and practices. We view </w:t>
      </w:r>
      <w:r>
        <w:rPr>
          <w:rFonts w:ascii="Calibri" w:eastAsia="Calibri" w:hAnsi="Calibri" w:cs="Calibri"/>
          <w:b/>
          <w:sz w:val="22"/>
          <w:szCs w:val="22"/>
        </w:rPr>
        <w:t>ERUA universities as standing ‘on a critical edge’- both in terms of values and geography due to our expertise in educational strategies and partnering nations</w:t>
      </w:r>
      <w:r>
        <w:rPr>
          <w:rFonts w:ascii="Calibri" w:eastAsia="Calibri" w:hAnsi="Calibri" w:cs="Calibri"/>
          <w:sz w:val="22"/>
          <w:szCs w:val="22"/>
        </w:rPr>
        <w:t>. Now, stronger together with our common vision, we are in a position to better contribute to the development of a sustainable society, and promote European values throughout our 8 universities.</w:t>
      </w:r>
    </w:p>
    <w:p w14:paraId="65E7E38B" w14:textId="77777777" w:rsidR="00C70F88" w:rsidRDefault="00AC1128">
      <w:pPr>
        <w:widowControl w:val="0"/>
        <w:ind w:right="4"/>
        <w:jc w:val="both"/>
        <w:rPr>
          <w:rFonts w:ascii="Calibri" w:eastAsia="Calibri" w:hAnsi="Calibri" w:cs="Calibri"/>
          <w:sz w:val="22"/>
          <w:szCs w:val="22"/>
        </w:rPr>
        <w:sectPr w:rsidR="00C70F88" w:rsidSect="00664E42">
          <w:pgSz w:w="11906" w:h="16838"/>
          <w:pgMar w:top="1701" w:right="1819" w:bottom="1440" w:left="1440" w:header="142" w:footer="84" w:gutter="0"/>
          <w:pgNumType w:start="1"/>
          <w:cols w:space="720"/>
        </w:sectPr>
      </w:pPr>
      <w:r>
        <w:rPr>
          <w:rFonts w:ascii="Calibri" w:eastAsia="Calibri" w:hAnsi="Calibri" w:cs="Calibri"/>
          <w:sz w:val="22"/>
          <w:szCs w:val="22"/>
        </w:rPr>
        <w:t>The enlargement and geographical shift of our consortium have given us the opportunity to sharpen our long-term objectives and our approach to educational reform in our contemporary world. And with our approach of fostering complementarities out of diversity, we will be better able to contribute unique perspectives beyond the Social Sciences and Humanities and enable a dialogue with the STEM disciplines. By this convergence of ERUA universities from Europe’s East and West, North and South, and students from top and lower socio-economic deciles, from rural and urban, insular and mainland settings, local and global backgrounds, we create opportunities to stand ‘on a critical edge’ both in terms of values, geography and social diversity.</w:t>
      </w:r>
    </w:p>
    <w:p w14:paraId="0C112F87" w14:textId="77777777" w:rsidR="00C70F88" w:rsidRDefault="00AC1128">
      <w:pPr>
        <w:widowControl w:val="0"/>
        <w:spacing w:before="200"/>
        <w:ind w:right="4"/>
        <w:jc w:val="both"/>
        <w:rPr>
          <w:rFonts w:ascii="Calibri" w:eastAsia="Calibri" w:hAnsi="Calibri" w:cs="Calibri"/>
          <w:b/>
        </w:rPr>
      </w:pPr>
      <w:r>
        <w:rPr>
          <w:rFonts w:ascii="Calibri" w:eastAsia="Calibri" w:hAnsi="Calibri" w:cs="Calibri"/>
          <w:b/>
        </w:rPr>
        <w:lastRenderedPageBreak/>
        <w:t xml:space="preserve">Joint work plan 2023-2027: a powerful academic hub to address global challenges </w:t>
      </w:r>
    </w:p>
    <w:p w14:paraId="0A591454" w14:textId="77777777" w:rsidR="00C70F88" w:rsidRDefault="00AC1128">
      <w:pPr>
        <w:widowControl w:val="0"/>
        <w:spacing w:before="120"/>
        <w:jc w:val="both"/>
        <w:rPr>
          <w:rFonts w:ascii="Calibri" w:eastAsia="Calibri" w:hAnsi="Calibri" w:cs="Calibri"/>
          <w:sz w:val="22"/>
          <w:szCs w:val="22"/>
        </w:rPr>
      </w:pPr>
      <w:r>
        <w:rPr>
          <w:rFonts w:ascii="Calibri" w:eastAsia="Calibri" w:hAnsi="Calibri" w:cs="Calibri"/>
          <w:sz w:val="22"/>
          <w:szCs w:val="22"/>
        </w:rPr>
        <w:t xml:space="preserve">ERUA’s work plan responds to the </w:t>
      </w:r>
      <w:r>
        <w:rPr>
          <w:rFonts w:ascii="Calibri" w:eastAsia="Calibri" w:hAnsi="Calibri" w:cs="Calibri"/>
          <w:b/>
          <w:sz w:val="22"/>
          <w:szCs w:val="22"/>
        </w:rPr>
        <w:t>long-term vision</w:t>
      </w:r>
      <w:r>
        <w:rPr>
          <w:rFonts w:ascii="Calibri" w:eastAsia="Calibri" w:hAnsi="Calibri" w:cs="Calibri"/>
          <w:sz w:val="22"/>
          <w:szCs w:val="22"/>
        </w:rPr>
        <w:t xml:space="preserve"> and ambition of the European Universities Initiative and has been </w:t>
      </w:r>
      <w:r>
        <w:rPr>
          <w:rFonts w:ascii="Calibri" w:eastAsia="Calibri" w:hAnsi="Calibri" w:cs="Calibri"/>
          <w:b/>
          <w:sz w:val="22"/>
          <w:szCs w:val="22"/>
        </w:rPr>
        <w:t>co-designed with the partner universities in a collaborative effort</w:t>
      </w:r>
      <w:r>
        <w:rPr>
          <w:rFonts w:ascii="Calibri" w:eastAsia="Calibri" w:hAnsi="Calibri" w:cs="Calibri"/>
          <w:sz w:val="22"/>
          <w:szCs w:val="22"/>
        </w:rPr>
        <w:t xml:space="preserve"> to match their strengths, interests, and local strategies to ERUA’s mission, vision and values.</w:t>
      </w:r>
      <w:r>
        <w:rPr>
          <w:rFonts w:ascii="Arial" w:eastAsia="Arial" w:hAnsi="Arial" w:cs="Arial"/>
          <w:noProof/>
          <w:sz w:val="18"/>
          <w:szCs w:val="18"/>
        </w:rPr>
        <w:drawing>
          <wp:inline distT="19050" distB="19050" distL="19050" distR="19050" wp14:anchorId="0983CD94" wp14:editId="20725380">
            <wp:extent cx="5490535" cy="2895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767" b="1767"/>
                    <a:stretch>
                      <a:fillRect/>
                    </a:stretch>
                  </pic:blipFill>
                  <pic:spPr>
                    <a:xfrm>
                      <a:off x="0" y="0"/>
                      <a:ext cx="5490535" cy="2895600"/>
                    </a:xfrm>
                    <a:prstGeom prst="rect">
                      <a:avLst/>
                    </a:prstGeom>
                    <a:ln/>
                  </pic:spPr>
                </pic:pic>
              </a:graphicData>
            </a:graphic>
          </wp:inline>
        </w:drawing>
      </w:r>
    </w:p>
    <w:p w14:paraId="166D9C88" w14:textId="77777777" w:rsidR="00C70F88" w:rsidRDefault="00AC1128">
      <w:pPr>
        <w:widowControl w:val="0"/>
        <w:spacing w:before="120"/>
        <w:jc w:val="both"/>
        <w:rPr>
          <w:rFonts w:ascii="Calibri" w:eastAsia="Calibri" w:hAnsi="Calibri" w:cs="Calibri"/>
          <w:sz w:val="22"/>
          <w:szCs w:val="22"/>
        </w:rPr>
      </w:pPr>
      <w:r>
        <w:rPr>
          <w:rFonts w:ascii="Calibri" w:eastAsia="Calibri" w:hAnsi="Calibri" w:cs="Calibri"/>
          <w:sz w:val="22"/>
          <w:szCs w:val="22"/>
        </w:rPr>
        <w:t>Our plan in a nutshell:</w:t>
      </w:r>
    </w:p>
    <w:p w14:paraId="061AC1DC" w14:textId="77777777" w:rsidR="00C70F88" w:rsidRDefault="00AC1128">
      <w:pPr>
        <w:widowControl w:val="0"/>
        <w:numPr>
          <w:ilvl w:val="0"/>
          <w:numId w:val="1"/>
        </w:numPr>
        <w:spacing w:before="120"/>
        <w:jc w:val="both"/>
        <w:rPr>
          <w:rFonts w:ascii="Calibri" w:eastAsia="Calibri" w:hAnsi="Calibri" w:cs="Calibri"/>
          <w:sz w:val="22"/>
          <w:szCs w:val="22"/>
        </w:rPr>
      </w:pPr>
      <w:r>
        <w:rPr>
          <w:rFonts w:ascii="Calibri" w:eastAsia="Calibri" w:hAnsi="Calibri" w:cs="Calibri"/>
          <w:sz w:val="22"/>
          <w:szCs w:val="22"/>
        </w:rPr>
        <w:t xml:space="preserve">Four of the work packages have been built around the </w:t>
      </w:r>
      <w:r>
        <w:rPr>
          <w:rFonts w:ascii="Calibri" w:eastAsia="Calibri" w:hAnsi="Calibri" w:cs="Calibri"/>
          <w:b/>
          <w:sz w:val="22"/>
          <w:szCs w:val="22"/>
        </w:rPr>
        <w:t>missions of universities</w:t>
      </w:r>
      <w:r>
        <w:rPr>
          <w:rFonts w:ascii="Calibri" w:eastAsia="Calibri" w:hAnsi="Calibri" w:cs="Calibri"/>
          <w:sz w:val="22"/>
          <w:szCs w:val="22"/>
        </w:rPr>
        <w:t>, with WP2 on education, WP3 on research, WP5 on service to society and finally WP6 on innovation.</w:t>
      </w:r>
    </w:p>
    <w:p w14:paraId="4B8BCE17" w14:textId="77777777" w:rsidR="00C70F88" w:rsidRDefault="00AC1128">
      <w:pPr>
        <w:widowControl w:val="0"/>
        <w:numPr>
          <w:ilvl w:val="0"/>
          <w:numId w:val="1"/>
        </w:numPr>
        <w:jc w:val="both"/>
        <w:rPr>
          <w:rFonts w:ascii="Calibri" w:eastAsia="Calibri" w:hAnsi="Calibri" w:cs="Calibri"/>
          <w:sz w:val="22"/>
          <w:szCs w:val="22"/>
        </w:rPr>
      </w:pPr>
      <w:r>
        <w:rPr>
          <w:rFonts w:ascii="Calibri" w:eastAsia="Calibri" w:hAnsi="Calibri" w:cs="Calibri"/>
          <w:sz w:val="22"/>
          <w:szCs w:val="22"/>
        </w:rPr>
        <w:t xml:space="preserve">The WPs </w:t>
      </w:r>
      <w:r>
        <w:rPr>
          <w:rFonts w:ascii="Calibri" w:eastAsia="Calibri" w:hAnsi="Calibri" w:cs="Calibri"/>
          <w:b/>
          <w:sz w:val="22"/>
          <w:szCs w:val="22"/>
        </w:rPr>
        <w:t xml:space="preserve">Management and coordination </w:t>
      </w:r>
      <w:r>
        <w:rPr>
          <w:rFonts w:ascii="Calibri" w:eastAsia="Calibri" w:hAnsi="Calibri" w:cs="Calibri"/>
          <w:sz w:val="22"/>
          <w:szCs w:val="22"/>
        </w:rPr>
        <w:t>(WP1)</w:t>
      </w:r>
      <w:r>
        <w:rPr>
          <w:rFonts w:ascii="Calibri" w:eastAsia="Calibri" w:hAnsi="Calibri" w:cs="Calibri"/>
          <w:b/>
          <w:sz w:val="22"/>
          <w:szCs w:val="22"/>
        </w:rPr>
        <w:t xml:space="preserve"> </w:t>
      </w:r>
      <w:r>
        <w:rPr>
          <w:rFonts w:ascii="Calibri" w:eastAsia="Calibri" w:hAnsi="Calibri" w:cs="Calibri"/>
          <w:sz w:val="22"/>
          <w:szCs w:val="22"/>
        </w:rPr>
        <w:t xml:space="preserve">and </w:t>
      </w:r>
      <w:r>
        <w:rPr>
          <w:rFonts w:ascii="Calibri" w:eastAsia="Calibri" w:hAnsi="Calibri" w:cs="Calibri"/>
          <w:b/>
          <w:sz w:val="22"/>
          <w:szCs w:val="22"/>
        </w:rPr>
        <w:t>Dissemination and impact</w:t>
      </w:r>
      <w:r>
        <w:rPr>
          <w:rFonts w:ascii="Calibri" w:eastAsia="Calibri" w:hAnsi="Calibri" w:cs="Calibri"/>
          <w:sz w:val="22"/>
          <w:szCs w:val="22"/>
        </w:rPr>
        <w:t xml:space="preserve"> (WP8) have a </w:t>
      </w:r>
      <w:r>
        <w:rPr>
          <w:rFonts w:ascii="Calibri" w:eastAsia="Calibri" w:hAnsi="Calibri" w:cs="Calibri"/>
          <w:b/>
          <w:sz w:val="22"/>
          <w:szCs w:val="22"/>
        </w:rPr>
        <w:t>cross-cutting role</w:t>
      </w:r>
      <w:r>
        <w:rPr>
          <w:rFonts w:ascii="Calibri" w:eastAsia="Calibri" w:hAnsi="Calibri" w:cs="Calibri"/>
          <w:sz w:val="22"/>
          <w:szCs w:val="22"/>
        </w:rPr>
        <w:t xml:space="preserve">. WP1 leads the long-term strategy and sustainability of the alliance with a reformed governance scheme and management setup. This enables the successful implementation of the alliance’s joint vision. WP8 leverages our communication, dissemination and outreach strategy to leverage our activities for impact. </w:t>
      </w:r>
    </w:p>
    <w:p w14:paraId="4D6E38E6" w14:textId="77777777" w:rsidR="00C70F88" w:rsidRDefault="00AC1128">
      <w:pPr>
        <w:widowControl w:val="0"/>
        <w:numPr>
          <w:ilvl w:val="0"/>
          <w:numId w:val="1"/>
        </w:numPr>
        <w:jc w:val="both"/>
        <w:rPr>
          <w:rFonts w:ascii="Calibri" w:eastAsia="Calibri" w:hAnsi="Calibri" w:cs="Calibri"/>
          <w:sz w:val="22"/>
          <w:szCs w:val="22"/>
        </w:rPr>
      </w:pPr>
      <w:r>
        <w:rPr>
          <w:rFonts w:ascii="Calibri" w:eastAsia="Calibri" w:hAnsi="Calibri" w:cs="Calibri"/>
          <w:sz w:val="22"/>
          <w:szCs w:val="22"/>
        </w:rPr>
        <w:t xml:space="preserve">Centrally placed is WP4 with the </w:t>
      </w:r>
      <w:r>
        <w:rPr>
          <w:rFonts w:ascii="Calibri" w:eastAsia="Calibri" w:hAnsi="Calibri" w:cs="Calibri"/>
          <w:b/>
          <w:sz w:val="22"/>
          <w:szCs w:val="22"/>
        </w:rPr>
        <w:t>inter-university campus</w:t>
      </w:r>
      <w:r>
        <w:rPr>
          <w:rFonts w:ascii="Calibri" w:eastAsia="Calibri" w:hAnsi="Calibri" w:cs="Calibri"/>
          <w:sz w:val="22"/>
          <w:szCs w:val="22"/>
        </w:rPr>
        <w:t xml:space="preserve">, which further shapes an inclusive, green and interconnected ERUA community to increase physical and virtual mobility opportunities for students, academic and non-academic staff.  </w:t>
      </w:r>
    </w:p>
    <w:p w14:paraId="1889A2A7" w14:textId="77777777" w:rsidR="00C70F88" w:rsidRDefault="00AC1128">
      <w:pPr>
        <w:widowControl w:val="0"/>
        <w:numPr>
          <w:ilvl w:val="0"/>
          <w:numId w:val="1"/>
        </w:numPr>
        <w:jc w:val="both"/>
        <w:rPr>
          <w:rFonts w:ascii="Calibri" w:eastAsia="Calibri" w:hAnsi="Calibri" w:cs="Calibri"/>
          <w:sz w:val="22"/>
          <w:szCs w:val="22"/>
        </w:rPr>
      </w:pPr>
      <w:r>
        <w:rPr>
          <w:rFonts w:ascii="Calibri" w:eastAsia="Calibri" w:hAnsi="Calibri" w:cs="Calibri"/>
          <w:sz w:val="22"/>
          <w:szCs w:val="22"/>
        </w:rPr>
        <w:t xml:space="preserve">ERUA upholds its focus on students by incorporating WP7, which empowers </w:t>
      </w:r>
      <w:r>
        <w:rPr>
          <w:rFonts w:ascii="Calibri" w:eastAsia="Calibri" w:hAnsi="Calibri" w:cs="Calibri"/>
          <w:b/>
          <w:sz w:val="22"/>
          <w:szCs w:val="22"/>
        </w:rPr>
        <w:t xml:space="preserve">students to co-create the ERUA community </w:t>
      </w:r>
      <w:r>
        <w:rPr>
          <w:rFonts w:ascii="Calibri" w:eastAsia="Calibri" w:hAnsi="Calibri" w:cs="Calibri"/>
          <w:sz w:val="22"/>
          <w:szCs w:val="22"/>
        </w:rPr>
        <w:t xml:space="preserve">and educational </w:t>
      </w:r>
      <w:proofErr w:type="spellStart"/>
      <w:r>
        <w:rPr>
          <w:rFonts w:ascii="Calibri" w:eastAsia="Calibri" w:hAnsi="Calibri" w:cs="Calibri"/>
          <w:sz w:val="22"/>
          <w:szCs w:val="22"/>
        </w:rPr>
        <w:t>programmes</w:t>
      </w:r>
      <w:proofErr w:type="spellEnd"/>
      <w:r>
        <w:rPr>
          <w:rFonts w:ascii="Calibri" w:eastAsia="Calibri" w:hAnsi="Calibri" w:cs="Calibri"/>
          <w:sz w:val="22"/>
          <w:szCs w:val="22"/>
        </w:rPr>
        <w:t>. This work package will operate across all other WPs.</w:t>
      </w:r>
    </w:p>
    <w:p w14:paraId="7331A500" w14:textId="77777777" w:rsidR="00C70F88" w:rsidRDefault="00AC1128">
      <w:pPr>
        <w:widowControl w:val="0"/>
        <w:numPr>
          <w:ilvl w:val="0"/>
          <w:numId w:val="1"/>
        </w:numPr>
        <w:jc w:val="both"/>
        <w:rPr>
          <w:rFonts w:ascii="Calibri" w:eastAsia="Calibri" w:hAnsi="Calibri" w:cs="Calibri"/>
          <w:sz w:val="22"/>
          <w:szCs w:val="22"/>
        </w:rPr>
      </w:pPr>
      <w:r>
        <w:rPr>
          <w:rFonts w:ascii="Calibri" w:eastAsia="Calibri" w:hAnsi="Calibri" w:cs="Calibri"/>
          <w:sz w:val="22"/>
          <w:szCs w:val="22"/>
        </w:rPr>
        <w:t xml:space="preserve">Building on the developments and expertise of the previous funding period, </w:t>
      </w:r>
      <w:r>
        <w:rPr>
          <w:rFonts w:ascii="Calibri" w:eastAsia="Calibri" w:hAnsi="Calibri" w:cs="Calibri"/>
          <w:b/>
          <w:sz w:val="22"/>
          <w:szCs w:val="22"/>
        </w:rPr>
        <w:t>ERUA’s digital services</w:t>
      </w:r>
      <w:r>
        <w:rPr>
          <w:rFonts w:ascii="Calibri" w:eastAsia="Calibri" w:hAnsi="Calibri" w:cs="Calibri"/>
          <w:sz w:val="22"/>
          <w:szCs w:val="22"/>
        </w:rPr>
        <w:t xml:space="preserve"> (</w:t>
      </w:r>
      <w:r>
        <w:rPr>
          <w:rFonts w:ascii="Calibri" w:eastAsia="Calibri" w:hAnsi="Calibri" w:cs="Calibri"/>
          <w:b/>
          <w:sz w:val="22"/>
          <w:szCs w:val="22"/>
        </w:rPr>
        <w:t>WP8</w:t>
      </w:r>
      <w:r>
        <w:rPr>
          <w:rFonts w:ascii="Calibri" w:eastAsia="Calibri" w:hAnsi="Calibri" w:cs="Calibri"/>
          <w:sz w:val="22"/>
          <w:szCs w:val="22"/>
        </w:rPr>
        <w:t>) will be fully deployed and become a central digital hub to provide accessible mobility and educational resources to students, faculty and staff.</w:t>
      </w:r>
    </w:p>
    <w:p w14:paraId="5293E404" w14:textId="77777777" w:rsidR="00664E42" w:rsidRPr="00664E42" w:rsidRDefault="00AC1128" w:rsidP="00664E42">
      <w:pPr>
        <w:widowControl w:val="0"/>
        <w:numPr>
          <w:ilvl w:val="0"/>
          <w:numId w:val="1"/>
        </w:numPr>
        <w:spacing w:before="120" w:after="120"/>
        <w:ind w:right="4"/>
        <w:jc w:val="both"/>
        <w:rPr>
          <w:rFonts w:ascii="Calibri" w:eastAsia="Calibri" w:hAnsi="Calibri" w:cs="Calibri"/>
          <w:b/>
        </w:rPr>
      </w:pPr>
      <w:r w:rsidRPr="00664E42">
        <w:rPr>
          <w:rFonts w:ascii="Calibri" w:eastAsia="Calibri" w:hAnsi="Calibri" w:cs="Calibri"/>
          <w:sz w:val="22"/>
          <w:szCs w:val="22"/>
        </w:rPr>
        <w:t xml:space="preserve">To </w:t>
      </w:r>
      <w:proofErr w:type="spellStart"/>
      <w:r w:rsidRPr="00664E42">
        <w:rPr>
          <w:rFonts w:ascii="Calibri" w:eastAsia="Calibri" w:hAnsi="Calibri" w:cs="Calibri"/>
          <w:sz w:val="22"/>
          <w:szCs w:val="22"/>
        </w:rPr>
        <w:t>emphasise</w:t>
      </w:r>
      <w:proofErr w:type="spellEnd"/>
      <w:r w:rsidRPr="00664E42">
        <w:rPr>
          <w:rFonts w:ascii="Calibri" w:eastAsia="Calibri" w:hAnsi="Calibri" w:cs="Calibri"/>
          <w:sz w:val="22"/>
          <w:szCs w:val="22"/>
        </w:rPr>
        <w:t xml:space="preserve"> ERUA’s mission, </w:t>
      </w:r>
      <w:r w:rsidRPr="00664E42">
        <w:rPr>
          <w:rFonts w:ascii="Calibri" w:eastAsia="Calibri" w:hAnsi="Calibri" w:cs="Calibri"/>
          <w:b/>
          <w:sz w:val="22"/>
          <w:szCs w:val="22"/>
        </w:rPr>
        <w:t>5 transversal thematic areas</w:t>
      </w:r>
      <w:r w:rsidRPr="00664E42">
        <w:rPr>
          <w:rFonts w:ascii="Calibri" w:eastAsia="Calibri" w:hAnsi="Calibri" w:cs="Calibri"/>
          <w:sz w:val="22"/>
          <w:szCs w:val="22"/>
        </w:rPr>
        <w:t xml:space="preserve"> of specific interest and capacity for ERUA have been added. </w:t>
      </w:r>
      <w:r w:rsidRPr="00664E42">
        <w:rPr>
          <w:rFonts w:ascii="Calibri" w:eastAsia="Calibri" w:hAnsi="Calibri" w:cs="Calibri"/>
          <w:b/>
          <w:sz w:val="22"/>
          <w:szCs w:val="22"/>
        </w:rPr>
        <w:t>They address social challenges of importance to Europe and provide focus to ensure that all work packages are working towards enhancing societal impact</w:t>
      </w:r>
      <w:r w:rsidRPr="00664E42">
        <w:rPr>
          <w:rFonts w:ascii="Calibri" w:eastAsia="Calibri" w:hAnsi="Calibri" w:cs="Calibri"/>
          <w:sz w:val="22"/>
          <w:szCs w:val="22"/>
        </w:rPr>
        <w:t xml:space="preserve"> around the established topic of the Alliance, without strictly limiting the thematic scope.</w:t>
      </w:r>
      <w:r>
        <w:rPr>
          <w:rFonts w:ascii="Arial" w:eastAsia="Arial" w:hAnsi="Arial" w:cs="Arial"/>
          <w:noProof/>
          <w:sz w:val="18"/>
          <w:szCs w:val="18"/>
        </w:rPr>
        <w:lastRenderedPageBreak/>
        <mc:AlternateContent>
          <mc:Choice Requires="wpg">
            <w:drawing>
              <wp:inline distT="114300" distB="114300" distL="114300" distR="114300" wp14:anchorId="5CFA19D5" wp14:editId="01BDF366">
                <wp:extent cx="5305425" cy="2619375"/>
                <wp:effectExtent l="0" t="0" r="9525" b="9525"/>
                <wp:docPr id="9" name="Groupe 9"/>
                <wp:cNvGraphicFramePr/>
                <a:graphic xmlns:a="http://schemas.openxmlformats.org/drawingml/2006/main">
                  <a:graphicData uri="http://schemas.microsoft.com/office/word/2010/wordprocessingGroup">
                    <wpg:wgp>
                      <wpg:cNvGrpSpPr/>
                      <wpg:grpSpPr>
                        <a:xfrm>
                          <a:off x="0" y="0"/>
                          <a:ext cx="5305425" cy="2619375"/>
                          <a:chOff x="-78927" y="1615350"/>
                          <a:chExt cx="8986362" cy="1854300"/>
                        </a:xfrm>
                      </wpg:grpSpPr>
                      <wps:wsp>
                        <wps:cNvPr id="1" name="Rectangle : coins arrondis 1"/>
                        <wps:cNvSpPr/>
                        <wps:spPr>
                          <a:xfrm>
                            <a:off x="-78927" y="1615350"/>
                            <a:ext cx="5124951" cy="1854300"/>
                          </a:xfrm>
                          <a:prstGeom prst="roundRect">
                            <a:avLst>
                              <a:gd name="adj" fmla="val 9242"/>
                            </a:avLst>
                          </a:prstGeom>
                          <a:solidFill>
                            <a:srgbClr val="00D8B9"/>
                          </a:solidFill>
                          <a:ln>
                            <a:noFill/>
                          </a:ln>
                        </wps:spPr>
                        <wps:txbx>
                          <w:txbxContent>
                            <w:p w14:paraId="0E10AD50" w14:textId="77777777" w:rsidR="00C70F88" w:rsidRPr="00664E42" w:rsidRDefault="00C70F88">
                              <w:pPr>
                                <w:textDirection w:val="btLr"/>
                                <w:rPr>
                                  <w:rFonts w:asciiTheme="minorHAnsi" w:hAnsiTheme="minorHAnsi" w:cstheme="minorHAnsi"/>
                                </w:rPr>
                              </w:pPr>
                            </w:p>
                            <w:p w14:paraId="30D58EDC" w14:textId="77777777" w:rsidR="00C70F88" w:rsidRPr="00664E42" w:rsidRDefault="00C70F88">
                              <w:pPr>
                                <w:textDirection w:val="btLr"/>
                                <w:rPr>
                                  <w:rFonts w:asciiTheme="minorHAnsi" w:hAnsiTheme="minorHAnsi" w:cstheme="minorHAnsi"/>
                                </w:rPr>
                              </w:pPr>
                            </w:p>
                            <w:p w14:paraId="0BD65BA0"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migration, exile and refugees</w:t>
                              </w:r>
                            </w:p>
                            <w:p w14:paraId="3985CA77"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environmental transition</w:t>
                              </w:r>
                            </w:p>
                            <w:p w14:paraId="5CB4F9B1"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democracy &amp; human rights, inclusion &amp; gender equality</w:t>
                              </w:r>
                            </w:p>
                            <w:p w14:paraId="25DBD990"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interculturality, multilingualism</w:t>
                              </w:r>
                            </w:p>
                            <w:p w14:paraId="7E36301E"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arts and edges</w:t>
                              </w:r>
                            </w:p>
                          </w:txbxContent>
                        </wps:txbx>
                        <wps:bodyPr spcFirstLastPara="1" wrap="square" lIns="91425" tIns="91425" rIns="91425" bIns="91425" anchor="ctr" anchorCtr="0">
                          <a:noAutofit/>
                        </wps:bodyPr>
                      </wps:wsp>
                      <wps:wsp>
                        <wps:cNvPr id="2" name="Rectangle : avec coins supérieurs arrondis 2"/>
                        <wps:cNvSpPr/>
                        <wps:spPr>
                          <a:xfrm>
                            <a:off x="-62792" y="1615352"/>
                            <a:ext cx="8913767" cy="264902"/>
                          </a:xfrm>
                          <a:prstGeom prst="round2SameRect">
                            <a:avLst>
                              <a:gd name="adj1" fmla="val 40465"/>
                              <a:gd name="adj2" fmla="val 0"/>
                            </a:avLst>
                          </a:prstGeom>
                          <a:solidFill>
                            <a:srgbClr val="5169C3"/>
                          </a:solidFill>
                          <a:ln>
                            <a:noFill/>
                          </a:ln>
                        </wps:spPr>
                        <wps:txbx>
                          <w:txbxContent>
                            <w:p w14:paraId="713F0144"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b/>
                                  <w:color w:val="FFFFFF"/>
                                </w:rPr>
                                <w:t>Our Thematic Areas</w:t>
                              </w:r>
                              <w:r w:rsidRPr="00664E42">
                                <w:rPr>
                                  <w:rFonts w:asciiTheme="minorHAnsi" w:eastAsia="Arial" w:hAnsiTheme="minorHAnsi" w:cstheme="minorHAnsi"/>
                                  <w:color w:val="FFFFFF"/>
                                </w:rPr>
                                <w:t xml:space="preserve"> </w:t>
                              </w:r>
                            </w:p>
                          </w:txbxContent>
                        </wps:txbx>
                        <wps:bodyPr spcFirstLastPara="1" wrap="square" lIns="91425" tIns="91425" rIns="91425" bIns="91425" anchor="ctr" anchorCtr="0">
                          <a:noAutofit/>
                        </wps:bodyPr>
                      </wps:wsp>
                      <wps:wsp>
                        <wps:cNvPr id="3" name="Rectangle : coins arrondis 3"/>
                        <wps:cNvSpPr/>
                        <wps:spPr>
                          <a:xfrm>
                            <a:off x="4422321" y="1615350"/>
                            <a:ext cx="4468981" cy="1854300"/>
                          </a:xfrm>
                          <a:prstGeom prst="roundRect">
                            <a:avLst>
                              <a:gd name="adj" fmla="val 9242"/>
                            </a:avLst>
                          </a:prstGeom>
                          <a:solidFill>
                            <a:srgbClr val="01B8B8"/>
                          </a:solidFill>
                          <a:ln>
                            <a:noFill/>
                          </a:ln>
                        </wps:spPr>
                        <wps:txbx>
                          <w:txbxContent>
                            <w:p w14:paraId="0C7302C3" w14:textId="77777777" w:rsidR="00C70F88" w:rsidRPr="00664E42" w:rsidRDefault="00C70F88">
                              <w:pPr>
                                <w:textDirection w:val="btLr"/>
                                <w:rPr>
                                  <w:rFonts w:asciiTheme="minorHAnsi" w:hAnsiTheme="minorHAnsi" w:cstheme="minorHAnsi"/>
                                </w:rPr>
                              </w:pPr>
                            </w:p>
                            <w:p w14:paraId="333DABA3"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 xml:space="preserve">Master on migrants' reception, with </w:t>
                              </w:r>
                              <w:r w:rsidR="00664E42" w:rsidRPr="00664E42">
                                <w:rPr>
                                  <w:rFonts w:asciiTheme="minorHAnsi" w:eastAsia="Arial" w:hAnsiTheme="minorHAnsi" w:cstheme="minorHAnsi"/>
                                  <w:color w:val="FFFFFF"/>
                                </w:rPr>
                                <w:t>specialization</w:t>
                              </w:r>
                              <w:r w:rsidRPr="00664E42">
                                <w:rPr>
                                  <w:rFonts w:asciiTheme="minorHAnsi" w:eastAsia="Arial" w:hAnsiTheme="minorHAnsi" w:cstheme="minorHAnsi"/>
                                  <w:color w:val="FFFFFF"/>
                                </w:rPr>
                                <w:t xml:space="preserve"> on minors (WP2)</w:t>
                              </w:r>
                            </w:p>
                            <w:p w14:paraId="5FEE59EA"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Young Forum for Action on Climate Change (WP7)</w:t>
                              </w:r>
                            </w:p>
                            <w:p w14:paraId="55FC4DB5"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Advocacy group Democracy &amp; Human Rights, Inclusion &amp; Gender Equality (WP1)</w:t>
                              </w:r>
                            </w:p>
                            <w:p w14:paraId="4B3E0194"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Exchange Forum on Social Justice &amp; Intercultural learning (WP4)</w:t>
                              </w:r>
                            </w:p>
                            <w:p w14:paraId="24CF6907"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ERUA Biennale (WP5)</w:t>
                              </w:r>
                            </w:p>
                          </w:txbxContent>
                        </wps:txbx>
                        <wps:bodyPr spcFirstLastPara="1" wrap="square" lIns="91425" tIns="91425" rIns="91425" bIns="91425" anchor="ctr" anchorCtr="0">
                          <a:noAutofit/>
                        </wps:bodyPr>
                      </wps:wsp>
                      <wps:wsp>
                        <wps:cNvPr id="4" name="Rectangle : avec coin arrondi 4"/>
                        <wps:cNvSpPr/>
                        <wps:spPr>
                          <a:xfrm>
                            <a:off x="4422321" y="1615350"/>
                            <a:ext cx="4485114" cy="264848"/>
                          </a:xfrm>
                          <a:prstGeom prst="round1Rect">
                            <a:avLst>
                              <a:gd name="adj" fmla="val 38129"/>
                            </a:avLst>
                          </a:prstGeom>
                          <a:solidFill>
                            <a:srgbClr val="7287CF"/>
                          </a:solidFill>
                          <a:ln>
                            <a:noFill/>
                          </a:ln>
                        </wps:spPr>
                        <wps:txbx>
                          <w:txbxContent>
                            <w:p w14:paraId="5AD0611F"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b/>
                                  <w:color w:val="FFFFFF"/>
                                </w:rPr>
                                <w:t>Example activities</w:t>
                              </w:r>
                            </w:p>
                          </w:txbxContent>
                        </wps:txbx>
                        <wps:bodyPr spcFirstLastPara="1" wrap="square" lIns="91425" tIns="91425" rIns="91425" bIns="91425" anchor="ctr" anchorCtr="0">
                          <a:noAutofit/>
                        </wps:bodyPr>
                      </wps:wsp>
                    </wpg:wgp>
                  </a:graphicData>
                </a:graphic>
              </wp:inline>
            </w:drawing>
          </mc:Choice>
          <mc:Fallback>
            <w:pict>
              <v:group w14:anchorId="5CFA19D5" id="Groupe 9" o:spid="_x0000_s1026" style="width:417.75pt;height:206.25pt;mso-position-horizontal-relative:char;mso-position-vertical-relative:line" coordorigin="-789,16153" coordsize="89863,1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">
                <v:roundrect id="Rectangle : coins arrondis 1" o:spid="_x0000_s1027" style="position:absolute;left:-789;top:16153;width:51249;height:18543;visibility:visible;mso-wrap-style:square;v-text-anchor:middle" arcsize="60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" fillcolor="#00d8b9" stroked="f">
                  <v:textbox inset="2.53958mm,2.53958mm,2.53958mm,2.53958mm">
                    <w:txbxContent>
                      <w:p w14:paraId="0E10AD50" w14:textId="77777777" w:rsidR="00C70F88" w:rsidRPr="00664E42" w:rsidRDefault="00C70F88">
                        <w:pPr>
                          <w:textDirection w:val="btLr"/>
                          <w:rPr>
                            <w:rFonts w:asciiTheme="minorHAnsi" w:hAnsiTheme="minorHAnsi" w:cstheme="minorHAnsi"/>
                          </w:rPr>
                        </w:pPr>
                      </w:p>
                      <w:p w14:paraId="30D58EDC" w14:textId="77777777" w:rsidR="00C70F88" w:rsidRPr="00664E42" w:rsidRDefault="00C70F88">
                        <w:pPr>
                          <w:textDirection w:val="btLr"/>
                          <w:rPr>
                            <w:rFonts w:asciiTheme="minorHAnsi" w:hAnsiTheme="minorHAnsi" w:cstheme="minorHAnsi"/>
                          </w:rPr>
                        </w:pPr>
                      </w:p>
                      <w:p w14:paraId="0BD65BA0"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migration, exile and refugees</w:t>
                        </w:r>
                      </w:p>
                      <w:p w14:paraId="3985CA77"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environmental transition</w:t>
                        </w:r>
                      </w:p>
                      <w:p w14:paraId="5CB4F9B1"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democracy &amp; human rights, inclusion &amp; gender equality</w:t>
                        </w:r>
                      </w:p>
                      <w:p w14:paraId="25DBD990"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interculturality, multilingualism</w:t>
                        </w:r>
                      </w:p>
                      <w:p w14:paraId="7E36301E"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color w:val="FFFFFF"/>
                          </w:rPr>
                          <w:t>arts and edges</w:t>
                        </w:r>
                      </w:p>
                    </w:txbxContent>
                  </v:textbox>
                </v:roundrect>
                <v:shape id="Rectangle : avec coins supérieurs arrondis 2" o:spid="_x0000_s1028" style="position:absolute;left:-627;top:16153;width:89136;height:2649;visibility:visible;mso-wrap-style:square;v-text-anchor:middle" coordsize="8913767,264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" adj="-11796480,,5400" path="m107193,l8806574,v59201,,107193,47992,107193,107193l8913767,264902r,l,264902r,l,107193c,47992,47992,,107193,xe" fillcolor="#5169c3" stroked="f">
                  <v:stroke joinstyle="miter"/>
                  <v:formulas/>
                  <v:path arrowok="t" o:connecttype="custom" o:connectlocs="107193,0;8806574,0;8913767,107193;8913767,264902;8913767,264902;0,264902;0,264902;0,107193;107193,0" o:connectangles="0,0,0,0,0,0,0,0,0" textboxrect="0,0,8913767,264902"/>
                  <v:textbox inset="2.53958mm,2.53958mm,2.53958mm,2.53958mm">
                    <w:txbxContent>
                      <w:p w14:paraId="713F0144"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b/>
                            <w:color w:val="FFFFFF"/>
                          </w:rPr>
                          <w:t>Our Thematic Areas</w:t>
                        </w:r>
                        <w:r w:rsidRPr="00664E42">
                          <w:rPr>
                            <w:rFonts w:asciiTheme="minorHAnsi" w:eastAsia="Arial" w:hAnsiTheme="minorHAnsi" w:cstheme="minorHAnsi"/>
                            <w:color w:val="FFFFFF"/>
                          </w:rPr>
                          <w:t xml:space="preserve"> </w:t>
                        </w:r>
                      </w:p>
                    </w:txbxContent>
                  </v:textbox>
                </v:shape>
                <v:roundrect id="Rectangle : coins arrondis 3" o:spid="_x0000_s1029" style="position:absolute;left:44223;top:16153;width:44690;height:18543;visibility:visible;mso-wrap-style:square;v-text-anchor:middle" arcsize="60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" fillcolor="#01b8b8" stroked="f">
                  <v:textbox inset="2.53958mm,2.53958mm,2.53958mm,2.53958mm">
                    <w:txbxContent>
                      <w:p w14:paraId="0C7302C3" w14:textId="77777777" w:rsidR="00C70F88" w:rsidRPr="00664E42" w:rsidRDefault="00C70F88">
                        <w:pPr>
                          <w:textDirection w:val="btLr"/>
                          <w:rPr>
                            <w:rFonts w:asciiTheme="minorHAnsi" w:hAnsiTheme="minorHAnsi" w:cstheme="minorHAnsi"/>
                          </w:rPr>
                        </w:pPr>
                      </w:p>
                      <w:p w14:paraId="333DABA3"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 xml:space="preserve">Master on migrants' reception, with </w:t>
                        </w:r>
                        <w:r w:rsidR="00664E42" w:rsidRPr="00664E42">
                          <w:rPr>
                            <w:rFonts w:asciiTheme="minorHAnsi" w:eastAsia="Arial" w:hAnsiTheme="minorHAnsi" w:cstheme="minorHAnsi"/>
                            <w:color w:val="FFFFFF"/>
                          </w:rPr>
                          <w:t>specialization</w:t>
                        </w:r>
                        <w:r w:rsidRPr="00664E42">
                          <w:rPr>
                            <w:rFonts w:asciiTheme="minorHAnsi" w:eastAsia="Arial" w:hAnsiTheme="minorHAnsi" w:cstheme="minorHAnsi"/>
                            <w:color w:val="FFFFFF"/>
                          </w:rPr>
                          <w:t xml:space="preserve"> on minors (WP2)</w:t>
                        </w:r>
                      </w:p>
                      <w:p w14:paraId="5FEE59EA"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Young Forum for Action on Climate Change (WP7)</w:t>
                        </w:r>
                      </w:p>
                      <w:p w14:paraId="55FC4DB5"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Advocacy group Democracy &amp; Human Rights, Inclusion &amp; Gender Equality (WP1)</w:t>
                        </w:r>
                      </w:p>
                      <w:p w14:paraId="4B3E0194"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Exchange Forum on Social Justice &amp; Intercultural learning (WP4)</w:t>
                        </w:r>
                      </w:p>
                      <w:p w14:paraId="24CF6907" w14:textId="77777777" w:rsidR="00C70F88" w:rsidRPr="00664E42" w:rsidRDefault="00AC1128">
                        <w:pPr>
                          <w:spacing w:line="275" w:lineRule="auto"/>
                          <w:textDirection w:val="btLr"/>
                          <w:rPr>
                            <w:rFonts w:asciiTheme="minorHAnsi" w:hAnsiTheme="minorHAnsi" w:cstheme="minorHAnsi"/>
                          </w:rPr>
                        </w:pPr>
                        <w:r w:rsidRPr="00664E42">
                          <w:rPr>
                            <w:rFonts w:asciiTheme="minorHAnsi" w:eastAsia="Arial" w:hAnsiTheme="minorHAnsi" w:cstheme="minorHAnsi"/>
                            <w:color w:val="FFFFFF"/>
                          </w:rPr>
                          <w:t>ERUA Biennale (WP5)</w:t>
                        </w:r>
                      </w:p>
                    </w:txbxContent>
                  </v:textbox>
                </v:roundrect>
                <v:shape id="Rectangle : avec coin arrondi 4" o:spid="_x0000_s1030" style="position:absolute;left:44223;top:16153;width:44851;height:2648;visibility:visible;mso-wrap-style:square;v-text-anchor:middle" coordsize="4485114,264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" adj="-11796480,,5400" path="m,l4384130,v55772,,100984,45212,100984,100984l4485114,264848,,264848,,xe" fillcolor="#7287cf" stroked="f">
                  <v:stroke joinstyle="miter"/>
                  <v:formulas/>
                  <v:path arrowok="t" o:connecttype="custom" o:connectlocs="0,0;4384130,0;4485114,100984;4485114,264848;0,264848;0,0" o:connectangles="0,0,0,0,0,0" textboxrect="0,0,4485114,264848"/>
                  <v:textbox inset="2.53958mm,2.53958mm,2.53958mm,2.53958mm">
                    <w:txbxContent>
                      <w:p w14:paraId="5AD0611F" w14:textId="77777777" w:rsidR="00C70F88" w:rsidRPr="00664E42" w:rsidRDefault="00AC1128">
                        <w:pPr>
                          <w:textDirection w:val="btLr"/>
                          <w:rPr>
                            <w:rFonts w:asciiTheme="minorHAnsi" w:hAnsiTheme="minorHAnsi" w:cstheme="minorHAnsi"/>
                          </w:rPr>
                        </w:pPr>
                        <w:r w:rsidRPr="00664E42">
                          <w:rPr>
                            <w:rFonts w:asciiTheme="minorHAnsi" w:eastAsia="Arial" w:hAnsiTheme="minorHAnsi" w:cstheme="minorHAnsi"/>
                            <w:b/>
                            <w:color w:val="FFFFFF"/>
                          </w:rPr>
                          <w:t>Example activities</w:t>
                        </w:r>
                      </w:p>
                    </w:txbxContent>
                  </v:textbox>
                </v:shape>
                <w10:anchorlock/>
              </v:group>
            </w:pict>
          </mc:Fallback>
        </mc:AlternateContent>
      </w:r>
    </w:p>
    <w:p w14:paraId="0E9F4067" w14:textId="77777777" w:rsidR="00C70F88" w:rsidRPr="00664E42" w:rsidRDefault="00AC1128" w:rsidP="00664E42">
      <w:pPr>
        <w:widowControl w:val="0"/>
        <w:spacing w:before="120" w:after="120"/>
        <w:ind w:right="4"/>
        <w:jc w:val="both"/>
        <w:rPr>
          <w:rFonts w:ascii="Calibri" w:eastAsia="Calibri" w:hAnsi="Calibri" w:cs="Calibri"/>
          <w:b/>
        </w:rPr>
      </w:pPr>
      <w:r w:rsidRPr="00664E42">
        <w:rPr>
          <w:rFonts w:ascii="Calibri" w:eastAsia="Calibri" w:hAnsi="Calibri" w:cs="Calibri"/>
          <w:b/>
        </w:rPr>
        <w:t>“Reform is making a difference”: our guiding principle to generate impact</w:t>
      </w:r>
    </w:p>
    <w:p w14:paraId="0E7665D2" w14:textId="77777777" w:rsidR="00C70F88" w:rsidRDefault="00AC1128">
      <w:pPr>
        <w:widowControl w:val="0"/>
        <w:spacing w:before="120"/>
        <w:ind w:right="4"/>
        <w:jc w:val="both"/>
        <w:rPr>
          <w:rFonts w:ascii="Calibri" w:eastAsia="Calibri" w:hAnsi="Calibri" w:cs="Calibri"/>
          <w:sz w:val="22"/>
          <w:szCs w:val="22"/>
        </w:rPr>
      </w:pPr>
      <w:r>
        <w:rPr>
          <w:rFonts w:ascii="Calibri" w:eastAsia="Calibri" w:hAnsi="Calibri" w:cs="Calibri"/>
          <w:sz w:val="22"/>
          <w:szCs w:val="22"/>
        </w:rPr>
        <w:t>In our Mission Statement, we state that “Reform is making a difference”. Following that principle, the generation of impact within and beyond our member institutions and academia as a whole is a core ambition of the project. Our ambition is to generate impact in all of the following dimensions and areas:</w:t>
      </w:r>
    </w:p>
    <w:p w14:paraId="6F2CD7D1" w14:textId="77777777" w:rsidR="00C70F88" w:rsidRDefault="00AC1128">
      <w:pPr>
        <w:widowControl w:val="0"/>
        <w:spacing w:before="120" w:after="120"/>
        <w:ind w:right="4"/>
        <w:jc w:val="center"/>
      </w:pPr>
      <w:r>
        <w:rPr>
          <w:rFonts w:ascii="Arial" w:eastAsia="Arial" w:hAnsi="Arial" w:cs="Arial"/>
          <w:noProof/>
          <w:sz w:val="18"/>
          <w:szCs w:val="18"/>
        </w:rPr>
        <mc:AlternateContent>
          <mc:Choice Requires="wpg">
            <w:drawing>
              <wp:inline distT="114300" distB="114300" distL="114300" distR="114300" wp14:anchorId="6F2F3C8F" wp14:editId="0233361D">
                <wp:extent cx="5300980" cy="600075"/>
                <wp:effectExtent l="0" t="0" r="0" b="9525"/>
                <wp:docPr id="8" name="Groupe 8"/>
                <wp:cNvGraphicFramePr/>
                <a:graphic xmlns:a="http://schemas.openxmlformats.org/drawingml/2006/main">
                  <a:graphicData uri="http://schemas.microsoft.com/office/word/2010/wordprocessingGroup">
                    <wpg:wgp>
                      <wpg:cNvGrpSpPr/>
                      <wpg:grpSpPr>
                        <a:xfrm>
                          <a:off x="0" y="0"/>
                          <a:ext cx="5300980" cy="600075"/>
                          <a:chOff x="2227050" y="2466025"/>
                          <a:chExt cx="5821075" cy="755100"/>
                        </a:xfrm>
                      </wpg:grpSpPr>
                      <wps:wsp>
                        <wps:cNvPr id="6" name="Rectangle : coins arrondis 6"/>
                        <wps:cNvSpPr/>
                        <wps:spPr>
                          <a:xfrm>
                            <a:off x="2227050" y="2466025"/>
                            <a:ext cx="2910600" cy="755100"/>
                          </a:xfrm>
                          <a:prstGeom prst="roundRect">
                            <a:avLst>
                              <a:gd name="adj" fmla="val 16667"/>
                            </a:avLst>
                          </a:prstGeom>
                          <a:solidFill>
                            <a:srgbClr val="00D8B9"/>
                          </a:solidFill>
                          <a:ln>
                            <a:noFill/>
                          </a:ln>
                        </wps:spPr>
                        <wps:txbx>
                          <w:txbxContent>
                            <w:p w14:paraId="0F117104" w14:textId="77777777" w:rsidR="00C70F88" w:rsidRPr="00664E42" w:rsidRDefault="00AC1128">
                              <w:pPr>
                                <w:jc w:val="center"/>
                                <w:textDirection w:val="btLr"/>
                              </w:pPr>
                              <w:r w:rsidRPr="00664E42">
                                <w:rPr>
                                  <w:rFonts w:ascii="Calibri" w:eastAsia="Calibri" w:hAnsi="Calibri" w:cs="Calibri"/>
                                  <w:b/>
                                  <w:color w:val="FFFFFF"/>
                                </w:rPr>
                                <w:t>Internal impact</w:t>
                              </w:r>
                            </w:p>
                            <w:p w14:paraId="2B2957FB" w14:textId="77777777" w:rsidR="00C70F88" w:rsidRPr="00664E42" w:rsidRDefault="00AC1128">
                              <w:pPr>
                                <w:jc w:val="center"/>
                                <w:textDirection w:val="btLr"/>
                              </w:pPr>
                              <w:r w:rsidRPr="00664E42">
                                <w:rPr>
                                  <w:rFonts w:ascii="Calibri" w:eastAsia="Calibri" w:hAnsi="Calibri" w:cs="Calibri"/>
                                  <w:color w:val="FFFFFF"/>
                                </w:rPr>
                                <w:t>Engagement, Content, Processes</w:t>
                              </w:r>
                            </w:p>
                          </w:txbxContent>
                        </wps:txbx>
                        <wps:bodyPr spcFirstLastPara="1" wrap="square" lIns="91425" tIns="91425" rIns="91425" bIns="91425" anchor="ctr" anchorCtr="0">
                          <a:noAutofit/>
                        </wps:bodyPr>
                      </wps:wsp>
                      <wps:wsp>
                        <wps:cNvPr id="7" name="Rectangle : coins arrondis 7"/>
                        <wps:cNvSpPr/>
                        <wps:spPr>
                          <a:xfrm>
                            <a:off x="5137525" y="2466025"/>
                            <a:ext cx="2910600" cy="755100"/>
                          </a:xfrm>
                          <a:prstGeom prst="roundRect">
                            <a:avLst>
                              <a:gd name="adj" fmla="val 16667"/>
                            </a:avLst>
                          </a:prstGeom>
                          <a:solidFill>
                            <a:srgbClr val="7489CE"/>
                          </a:solidFill>
                          <a:ln>
                            <a:noFill/>
                          </a:ln>
                        </wps:spPr>
                        <wps:txbx>
                          <w:txbxContent>
                            <w:p w14:paraId="4C1C1D95" w14:textId="77777777" w:rsidR="00C70F88" w:rsidRPr="00664E42" w:rsidRDefault="00AC1128">
                              <w:pPr>
                                <w:jc w:val="center"/>
                                <w:textDirection w:val="btLr"/>
                                <w:rPr>
                                  <w:sz w:val="20"/>
                                </w:rPr>
                              </w:pPr>
                              <w:r w:rsidRPr="00664E42">
                                <w:rPr>
                                  <w:rFonts w:ascii="Calibri" w:eastAsia="Calibri" w:hAnsi="Calibri" w:cs="Calibri"/>
                                  <w:b/>
                                  <w:color w:val="FFFFFF"/>
                                </w:rPr>
                                <w:t>External impact</w:t>
                              </w:r>
                            </w:p>
                            <w:p w14:paraId="6DA7C80D" w14:textId="77777777" w:rsidR="00C70F88" w:rsidRPr="00664E42" w:rsidRDefault="00AC1128">
                              <w:pPr>
                                <w:jc w:val="center"/>
                                <w:textDirection w:val="btLr"/>
                                <w:rPr>
                                  <w:sz w:val="20"/>
                                </w:rPr>
                              </w:pPr>
                              <w:r w:rsidRPr="00664E42">
                                <w:rPr>
                                  <w:rFonts w:ascii="Calibri" w:eastAsia="Calibri" w:hAnsi="Calibri" w:cs="Calibri"/>
                                  <w:color w:val="FFFFFF"/>
                                </w:rPr>
                                <w:t>Institutional, Systemic, Societal</w:t>
                              </w:r>
                            </w:p>
                          </w:txbxContent>
                        </wps:txbx>
                        <wps:bodyPr spcFirstLastPara="1" wrap="square" lIns="91425" tIns="91425" rIns="91425" bIns="91425" anchor="ctr" anchorCtr="0">
                          <a:noAutofit/>
                        </wps:bodyPr>
                      </wps:wsp>
                      <wps:wsp>
                        <wps:cNvPr id="13" name="Rectangle 13"/>
                        <wps:cNvSpPr/>
                        <wps:spPr>
                          <a:xfrm>
                            <a:off x="5017533" y="2466025"/>
                            <a:ext cx="124500" cy="755100"/>
                          </a:xfrm>
                          <a:prstGeom prst="rect">
                            <a:avLst/>
                          </a:prstGeom>
                          <a:solidFill>
                            <a:srgbClr val="00D8B9"/>
                          </a:solidFill>
                          <a:ln>
                            <a:noFill/>
                          </a:ln>
                        </wps:spPr>
                        <wps:txbx>
                          <w:txbxContent>
                            <w:p w14:paraId="52569CD0" w14:textId="77777777" w:rsidR="00C70F88" w:rsidRDefault="00C70F88">
                              <w:pPr>
                                <w:jc w:val="center"/>
                                <w:textDirection w:val="btLr"/>
                              </w:pPr>
                            </w:p>
                          </w:txbxContent>
                        </wps:txbx>
                        <wps:bodyPr spcFirstLastPara="1" wrap="square" lIns="91425" tIns="91425" rIns="91425" bIns="91425" anchor="ctr" anchorCtr="0">
                          <a:noAutofit/>
                        </wps:bodyPr>
                      </wps:wsp>
                      <wps:wsp>
                        <wps:cNvPr id="14" name="Rectangle 14"/>
                        <wps:cNvSpPr/>
                        <wps:spPr>
                          <a:xfrm>
                            <a:off x="5142066" y="2466025"/>
                            <a:ext cx="124500" cy="755100"/>
                          </a:xfrm>
                          <a:prstGeom prst="rect">
                            <a:avLst/>
                          </a:prstGeom>
                          <a:solidFill>
                            <a:srgbClr val="7489CE"/>
                          </a:solidFill>
                          <a:ln>
                            <a:noFill/>
                          </a:ln>
                        </wps:spPr>
                        <wps:txbx>
                          <w:txbxContent>
                            <w:p w14:paraId="7FAB1B13" w14:textId="77777777" w:rsidR="00C70F88" w:rsidRDefault="00C70F88">
                              <w:pPr>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6F2F3C8F" id="Groupe 8" o:spid="_x0000_s1031" style="width:417.4pt;height:47.25pt;mso-position-horizontal-relative:char;mso-position-vertical-relative:line" coordorigin="22270,24660" coordsize="58210,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">
                <v:roundrect id="Rectangle : coins arrondis 6" o:spid="_x0000_s1032" style="position:absolute;left:22270;top:24660;width:29106;height:7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" fillcolor="#00d8b9" stroked="f">
                  <v:textbox inset="2.53958mm,2.53958mm,2.53958mm,2.53958mm">
                    <w:txbxContent>
                      <w:p w14:paraId="0F117104" w14:textId="77777777" w:rsidR="00C70F88" w:rsidRPr="00664E42" w:rsidRDefault="00AC1128">
                        <w:pPr>
                          <w:jc w:val="center"/>
                          <w:textDirection w:val="btLr"/>
                        </w:pPr>
                        <w:r w:rsidRPr="00664E42">
                          <w:rPr>
                            <w:rFonts w:ascii="Calibri" w:eastAsia="Calibri" w:hAnsi="Calibri" w:cs="Calibri"/>
                            <w:b/>
                            <w:color w:val="FFFFFF"/>
                          </w:rPr>
                          <w:t>Internal impact</w:t>
                        </w:r>
                      </w:p>
                      <w:p w14:paraId="2B2957FB" w14:textId="77777777" w:rsidR="00C70F88" w:rsidRPr="00664E42" w:rsidRDefault="00AC1128">
                        <w:pPr>
                          <w:jc w:val="center"/>
                          <w:textDirection w:val="btLr"/>
                        </w:pPr>
                        <w:r w:rsidRPr="00664E42">
                          <w:rPr>
                            <w:rFonts w:ascii="Calibri" w:eastAsia="Calibri" w:hAnsi="Calibri" w:cs="Calibri"/>
                            <w:color w:val="FFFFFF"/>
                          </w:rPr>
                          <w:t>Engagement, Content, Processes</w:t>
                        </w:r>
                      </w:p>
                    </w:txbxContent>
                  </v:textbox>
                </v:roundrect>
                <v:roundrect id="Rectangle : coins arrondis 7" o:spid="_x0000_s1033" style="position:absolute;left:51375;top:24660;width:29106;height:7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" fillcolor="#7489ce" stroked="f">
                  <v:textbox inset="2.53958mm,2.53958mm,2.53958mm,2.53958mm">
                    <w:txbxContent>
                      <w:p w14:paraId="4C1C1D95" w14:textId="77777777" w:rsidR="00C70F88" w:rsidRPr="00664E42" w:rsidRDefault="00AC1128">
                        <w:pPr>
                          <w:jc w:val="center"/>
                          <w:textDirection w:val="btLr"/>
                          <w:rPr>
                            <w:sz w:val="20"/>
                          </w:rPr>
                        </w:pPr>
                        <w:r w:rsidRPr="00664E42">
                          <w:rPr>
                            <w:rFonts w:ascii="Calibri" w:eastAsia="Calibri" w:hAnsi="Calibri" w:cs="Calibri"/>
                            <w:b/>
                            <w:color w:val="FFFFFF"/>
                          </w:rPr>
                          <w:t>External impact</w:t>
                        </w:r>
                      </w:p>
                      <w:p w14:paraId="6DA7C80D" w14:textId="77777777" w:rsidR="00C70F88" w:rsidRPr="00664E42" w:rsidRDefault="00AC1128">
                        <w:pPr>
                          <w:jc w:val="center"/>
                          <w:textDirection w:val="btLr"/>
                          <w:rPr>
                            <w:sz w:val="20"/>
                          </w:rPr>
                        </w:pPr>
                        <w:r w:rsidRPr="00664E42">
                          <w:rPr>
                            <w:rFonts w:ascii="Calibri" w:eastAsia="Calibri" w:hAnsi="Calibri" w:cs="Calibri"/>
                            <w:color w:val="FFFFFF"/>
                          </w:rPr>
                          <w:t>Institutional, Systemic, Societal</w:t>
                        </w:r>
                      </w:p>
                    </w:txbxContent>
                  </v:textbox>
                </v:roundrect>
                <v:rect id="Rectangle 13" o:spid="_x0000_s1034" style="position:absolute;left:50175;top:24660;width:1245;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" fillcolor="#00d8b9" stroked="f">
                  <v:textbox inset="2.53958mm,2.53958mm,2.53958mm,2.53958mm">
                    <w:txbxContent>
                      <w:p w14:paraId="52569CD0" w14:textId="77777777" w:rsidR="00C70F88" w:rsidRDefault="00C70F88">
                        <w:pPr>
                          <w:jc w:val="center"/>
                          <w:textDirection w:val="btLr"/>
                        </w:pPr>
                      </w:p>
                    </w:txbxContent>
                  </v:textbox>
                </v:rect>
                <v:rect id="Rectangle 14" o:spid="_x0000_s1035" style="position:absolute;left:51420;top:24660;width:1245;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" fillcolor="#7489ce" stroked="f">
                  <v:textbox inset="2.53958mm,2.53958mm,2.53958mm,2.53958mm">
                    <w:txbxContent>
                      <w:p w14:paraId="7FAB1B13" w14:textId="77777777" w:rsidR="00C70F88" w:rsidRDefault="00C70F88">
                        <w:pPr>
                          <w:jc w:val="center"/>
                          <w:textDirection w:val="btLr"/>
                        </w:pPr>
                      </w:p>
                    </w:txbxContent>
                  </v:textbox>
                </v:rect>
                <w10:anchorlock/>
              </v:group>
            </w:pict>
          </mc:Fallback>
        </mc:AlternateContent>
      </w:r>
    </w:p>
    <w:p w14:paraId="2660656A" w14:textId="77777777" w:rsidR="00C70F88" w:rsidRDefault="00AC1128">
      <w:pPr>
        <w:widowControl w:val="0"/>
        <w:spacing w:before="120"/>
        <w:ind w:right="4"/>
        <w:jc w:val="both"/>
        <w:rPr>
          <w:rFonts w:ascii="Calibri" w:eastAsia="Calibri" w:hAnsi="Calibri" w:cs="Calibri"/>
          <w:sz w:val="22"/>
          <w:szCs w:val="22"/>
        </w:rPr>
      </w:pPr>
      <w:r>
        <w:rPr>
          <w:rFonts w:ascii="Calibri" w:eastAsia="Calibri" w:hAnsi="Calibri" w:cs="Calibri"/>
          <w:sz w:val="22"/>
          <w:szCs w:val="22"/>
        </w:rPr>
        <w:t xml:space="preserve">A second perspective to approach impact, that forms a matrix with the approach by area, is by </w:t>
      </w:r>
      <w:r>
        <w:rPr>
          <w:rFonts w:ascii="Calibri" w:eastAsia="Calibri" w:hAnsi="Calibri" w:cs="Calibri"/>
          <w:b/>
          <w:sz w:val="22"/>
          <w:szCs w:val="22"/>
        </w:rPr>
        <w:t>target groups</w:t>
      </w:r>
      <w:r>
        <w:rPr>
          <w:rFonts w:ascii="Calibri" w:eastAsia="Calibri" w:hAnsi="Calibri" w:cs="Calibri"/>
          <w:sz w:val="22"/>
          <w:szCs w:val="22"/>
        </w:rPr>
        <w:t>. Our approach to impact is based on dialogue, as opposed to the paradigm of the generation of impact as an outward one-way road. This is why we place the involvement of our target groups at the heart of our impact strategy.</w:t>
      </w:r>
    </w:p>
    <w:p w14:paraId="5B1F49FB" w14:textId="77777777" w:rsidR="00C70F88" w:rsidRDefault="00C70F88">
      <w:pPr>
        <w:widowControl w:val="0"/>
        <w:spacing w:before="120"/>
        <w:ind w:right="4"/>
        <w:jc w:val="both"/>
        <w:rPr>
          <w:rFonts w:ascii="Calibri" w:eastAsia="Calibri" w:hAnsi="Calibri" w:cs="Calibri"/>
          <w:sz w:val="22"/>
          <w:szCs w:val="22"/>
        </w:rPr>
      </w:pPr>
    </w:p>
    <w:tbl>
      <w:tblPr>
        <w:tblStyle w:val="a0"/>
        <w:tblW w:w="892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1920"/>
        <w:gridCol w:w="3465"/>
        <w:gridCol w:w="3540"/>
      </w:tblGrid>
      <w:tr w:rsidR="00C70F88" w14:paraId="210E4D32" w14:textId="77777777">
        <w:tc>
          <w:tcPr>
            <w:tcW w:w="1920" w:type="dxa"/>
          </w:tcPr>
          <w:p w14:paraId="5A65FE0B"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color w:val="000000"/>
                <w:sz w:val="20"/>
                <w:szCs w:val="20"/>
              </w:rPr>
              <w:t>Target Group</w:t>
            </w:r>
          </w:p>
        </w:tc>
        <w:tc>
          <w:tcPr>
            <w:tcW w:w="3465" w:type="dxa"/>
          </w:tcPr>
          <w:p w14:paraId="15CFE05D"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color w:val="000000"/>
                <w:sz w:val="20"/>
                <w:szCs w:val="20"/>
              </w:rPr>
              <w:t>Specific Involvement in ERUA</w:t>
            </w:r>
          </w:p>
        </w:tc>
        <w:tc>
          <w:tcPr>
            <w:tcW w:w="3540" w:type="dxa"/>
          </w:tcPr>
          <w:p w14:paraId="62DF06A2"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color w:val="000000"/>
                <w:sz w:val="20"/>
                <w:szCs w:val="20"/>
              </w:rPr>
              <w:t>Main Benefits</w:t>
            </w:r>
          </w:p>
        </w:tc>
      </w:tr>
      <w:tr w:rsidR="00C70F88" w14:paraId="6D3AEB96" w14:textId="77777777">
        <w:tc>
          <w:tcPr>
            <w:tcW w:w="1920" w:type="dxa"/>
          </w:tcPr>
          <w:p w14:paraId="3CB4308F"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color w:val="000000"/>
                <w:sz w:val="20"/>
                <w:szCs w:val="20"/>
              </w:rPr>
              <w:t>ERUA Students</w:t>
            </w:r>
          </w:p>
        </w:tc>
        <w:tc>
          <w:tcPr>
            <w:tcW w:w="3465" w:type="dxa"/>
          </w:tcPr>
          <w:p w14:paraId="67B7BD08" w14:textId="77777777" w:rsidR="00C70F88" w:rsidRDefault="00AC1128">
            <w:pPr>
              <w:widowControl w:val="0"/>
              <w:pBdr>
                <w:top w:val="nil"/>
                <w:left w:val="nil"/>
                <w:bottom w:val="nil"/>
                <w:right w:val="nil"/>
                <w:between w:val="nil"/>
              </w:pBdr>
              <w:ind w:right="4"/>
              <w:rPr>
                <w:rFonts w:ascii="Calibri" w:eastAsia="Calibri" w:hAnsi="Calibri" w:cs="Calibri"/>
                <w:sz w:val="16"/>
                <w:szCs w:val="16"/>
              </w:rPr>
            </w:pPr>
            <w:r>
              <w:rPr>
                <w:rFonts w:ascii="Calibri" w:eastAsia="Calibri" w:hAnsi="Calibri" w:cs="Calibri"/>
                <w:sz w:val="16"/>
                <w:szCs w:val="16"/>
              </w:rPr>
              <w:t xml:space="preserve">-Involvement in co-creating the ERUA community and educational </w:t>
            </w:r>
            <w:proofErr w:type="spellStart"/>
            <w:r>
              <w:rPr>
                <w:rFonts w:ascii="Calibri" w:eastAsia="Calibri" w:hAnsi="Calibri" w:cs="Calibri"/>
                <w:sz w:val="16"/>
                <w:szCs w:val="16"/>
              </w:rPr>
              <w:t>programmes</w:t>
            </w:r>
            <w:proofErr w:type="spellEnd"/>
            <w:r>
              <w:rPr>
                <w:rFonts w:ascii="Calibri" w:eastAsia="Calibri" w:hAnsi="Calibri" w:cs="Calibri"/>
                <w:sz w:val="16"/>
                <w:szCs w:val="16"/>
              </w:rPr>
              <w:t xml:space="preserve"> (WP7, WP2 and WP4)</w:t>
            </w:r>
          </w:p>
          <w:p w14:paraId="0EDBC901" w14:textId="77777777" w:rsidR="00C70F88" w:rsidRDefault="00AC1128">
            <w:pPr>
              <w:widowControl w:val="0"/>
              <w:pBdr>
                <w:top w:val="nil"/>
                <w:left w:val="nil"/>
                <w:bottom w:val="nil"/>
                <w:right w:val="nil"/>
                <w:between w:val="nil"/>
              </w:pBdr>
              <w:ind w:right="4"/>
              <w:rPr>
                <w:rFonts w:ascii="Calibri" w:eastAsia="Calibri" w:hAnsi="Calibri" w:cs="Calibri"/>
                <w:sz w:val="16"/>
                <w:szCs w:val="16"/>
              </w:rPr>
            </w:pPr>
            <w:r>
              <w:rPr>
                <w:rFonts w:ascii="Calibri" w:eastAsia="Calibri" w:hAnsi="Calibri" w:cs="Calibri"/>
                <w:sz w:val="16"/>
                <w:szCs w:val="16"/>
              </w:rPr>
              <w:t xml:space="preserve">- Participation in mobility </w:t>
            </w:r>
            <w:proofErr w:type="spellStart"/>
            <w:r>
              <w:rPr>
                <w:rFonts w:ascii="Calibri" w:eastAsia="Calibri" w:hAnsi="Calibri" w:cs="Calibri"/>
                <w:sz w:val="16"/>
                <w:szCs w:val="16"/>
              </w:rPr>
              <w:t>programmes</w:t>
            </w:r>
            <w:proofErr w:type="spellEnd"/>
            <w:r>
              <w:rPr>
                <w:rFonts w:ascii="Calibri" w:eastAsia="Calibri" w:hAnsi="Calibri" w:cs="Calibri"/>
                <w:sz w:val="16"/>
                <w:szCs w:val="16"/>
              </w:rPr>
              <w:t xml:space="preserve"> (WP4)</w:t>
            </w:r>
          </w:p>
          <w:p w14:paraId="20BAF0D3" w14:textId="77777777" w:rsidR="00C70F88" w:rsidRDefault="00AC1128">
            <w:pPr>
              <w:widowControl w:val="0"/>
              <w:pBdr>
                <w:top w:val="nil"/>
                <w:left w:val="nil"/>
                <w:bottom w:val="nil"/>
                <w:right w:val="nil"/>
                <w:between w:val="nil"/>
              </w:pBdr>
              <w:ind w:right="4"/>
              <w:rPr>
                <w:rFonts w:ascii="Calibri" w:eastAsia="Calibri" w:hAnsi="Calibri" w:cs="Calibri"/>
                <w:sz w:val="16"/>
                <w:szCs w:val="16"/>
              </w:rPr>
            </w:pPr>
            <w:r>
              <w:rPr>
                <w:rFonts w:ascii="Calibri" w:eastAsia="Calibri" w:hAnsi="Calibri" w:cs="Calibri"/>
                <w:sz w:val="16"/>
                <w:szCs w:val="16"/>
              </w:rPr>
              <w:t>- Participation in governance bodies (WP1)</w:t>
            </w:r>
          </w:p>
          <w:p w14:paraId="3EB590BD" w14:textId="77777777" w:rsidR="00C70F88" w:rsidRDefault="00AC1128">
            <w:pPr>
              <w:widowControl w:val="0"/>
              <w:pBdr>
                <w:top w:val="nil"/>
                <w:left w:val="nil"/>
                <w:bottom w:val="nil"/>
                <w:right w:val="nil"/>
                <w:between w:val="nil"/>
              </w:pBdr>
              <w:ind w:right="4"/>
              <w:rPr>
                <w:rFonts w:ascii="Calibri" w:eastAsia="Calibri" w:hAnsi="Calibri" w:cs="Calibri"/>
                <w:sz w:val="16"/>
                <w:szCs w:val="16"/>
              </w:rPr>
            </w:pPr>
            <w:r>
              <w:rPr>
                <w:rFonts w:ascii="Calibri" w:eastAsia="Calibri" w:hAnsi="Calibri" w:cs="Calibri"/>
                <w:sz w:val="16"/>
                <w:szCs w:val="16"/>
              </w:rPr>
              <w:t>- Leading, managing core activities, and networks with local communities as change makers and local activators (WP5)</w:t>
            </w:r>
          </w:p>
          <w:p w14:paraId="567E8471" w14:textId="77777777" w:rsidR="00C70F88" w:rsidRDefault="00AC1128">
            <w:pPr>
              <w:widowControl w:val="0"/>
              <w:pBdr>
                <w:top w:val="nil"/>
                <w:left w:val="nil"/>
                <w:bottom w:val="nil"/>
                <w:right w:val="nil"/>
                <w:between w:val="nil"/>
              </w:pBdr>
              <w:ind w:right="4"/>
              <w:rPr>
                <w:rFonts w:ascii="Calibri" w:eastAsia="Calibri" w:hAnsi="Calibri" w:cs="Calibri"/>
                <w:sz w:val="16"/>
                <w:szCs w:val="16"/>
              </w:rPr>
            </w:pPr>
            <w:r>
              <w:rPr>
                <w:rFonts w:ascii="Calibri" w:eastAsia="Calibri" w:hAnsi="Calibri" w:cs="Calibri"/>
                <w:sz w:val="16"/>
                <w:szCs w:val="16"/>
              </w:rPr>
              <w:t>- Participating in ERUA’s social entrepreneurship initiatives (WP6)</w:t>
            </w:r>
          </w:p>
        </w:tc>
        <w:tc>
          <w:tcPr>
            <w:tcW w:w="3540" w:type="dxa"/>
          </w:tcPr>
          <w:p w14:paraId="4EABBE76"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Benefit from mobility </w:t>
            </w:r>
            <w:proofErr w:type="spellStart"/>
            <w:r>
              <w:rPr>
                <w:rFonts w:ascii="Calibri" w:eastAsia="Calibri" w:hAnsi="Calibri" w:cs="Calibri"/>
                <w:sz w:val="16"/>
                <w:szCs w:val="16"/>
              </w:rPr>
              <w:t>programmes</w:t>
            </w:r>
            <w:proofErr w:type="spellEnd"/>
            <w:r>
              <w:rPr>
                <w:rFonts w:ascii="Calibri" w:eastAsia="Calibri" w:hAnsi="Calibri" w:cs="Calibri"/>
                <w:sz w:val="16"/>
                <w:szCs w:val="16"/>
              </w:rPr>
              <w:t xml:space="preserve"> and build a critical and reformist mindset</w:t>
            </w:r>
          </w:p>
          <w:p w14:paraId="2DB6A5C9"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Profit from innovative joint </w:t>
            </w:r>
            <w:proofErr w:type="spellStart"/>
            <w:r>
              <w:rPr>
                <w:rFonts w:ascii="Calibri" w:eastAsia="Calibri" w:hAnsi="Calibri" w:cs="Calibri"/>
                <w:sz w:val="16"/>
                <w:szCs w:val="16"/>
              </w:rPr>
              <w:t>programmes</w:t>
            </w:r>
            <w:proofErr w:type="spellEnd"/>
            <w:r>
              <w:rPr>
                <w:rFonts w:ascii="Calibri" w:eastAsia="Calibri" w:hAnsi="Calibri" w:cs="Calibri"/>
                <w:sz w:val="16"/>
                <w:szCs w:val="16"/>
              </w:rPr>
              <w:t xml:space="preserve"> that provide competitive diplomas and support the careers of our alumni</w:t>
            </w:r>
          </w:p>
          <w:p w14:paraId="5302DF98"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Gaining life experience and skills for social responsibility</w:t>
            </w:r>
          </w:p>
          <w:p w14:paraId="3048A050" w14:textId="77777777" w:rsidR="00C70F88" w:rsidRDefault="00AC1128">
            <w:pPr>
              <w:spacing w:after="120"/>
              <w:ind w:right="4"/>
              <w:jc w:val="both"/>
              <w:rPr>
                <w:rFonts w:ascii="Calibri" w:eastAsia="Calibri" w:hAnsi="Calibri" w:cs="Calibri"/>
                <w:color w:val="000000"/>
                <w:sz w:val="20"/>
                <w:szCs w:val="20"/>
              </w:rPr>
            </w:pPr>
            <w:r>
              <w:rPr>
                <w:rFonts w:ascii="Calibri" w:eastAsia="Calibri" w:hAnsi="Calibri" w:cs="Calibri"/>
                <w:sz w:val="16"/>
                <w:szCs w:val="16"/>
              </w:rPr>
              <w:t>- Develop an entrepreneurial mindset and student engagement schemes</w:t>
            </w:r>
          </w:p>
        </w:tc>
      </w:tr>
      <w:tr w:rsidR="00C70F88" w14:paraId="08C30D77" w14:textId="77777777">
        <w:tc>
          <w:tcPr>
            <w:tcW w:w="1920" w:type="dxa"/>
          </w:tcPr>
          <w:p w14:paraId="086CC11F"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color w:val="000000"/>
                <w:sz w:val="20"/>
                <w:szCs w:val="20"/>
              </w:rPr>
              <w:t>ERUA Academic Staff</w:t>
            </w:r>
          </w:p>
        </w:tc>
        <w:tc>
          <w:tcPr>
            <w:tcW w:w="3465" w:type="dxa"/>
          </w:tcPr>
          <w:p w14:paraId="4F397DD4"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Participation in shaping learning pathways and initiatives (WP2)</w:t>
            </w:r>
          </w:p>
          <w:p w14:paraId="6B9D175D"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Engagement in research-based clusters (WP3)</w:t>
            </w:r>
          </w:p>
          <w:p w14:paraId="04963377"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Participation in governance bodies (WP1)</w:t>
            </w:r>
          </w:p>
          <w:p w14:paraId="11410645"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Creation of a teaching and research community (WP4)</w:t>
            </w:r>
          </w:p>
          <w:p w14:paraId="069A34BA"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Engagement in Community-Based Participatory research, through Science Shops (WP5)</w:t>
            </w:r>
          </w:p>
        </w:tc>
        <w:tc>
          <w:tcPr>
            <w:tcW w:w="3540" w:type="dxa"/>
          </w:tcPr>
          <w:p w14:paraId="64E564C3"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Easing and mainstreaming joint applications to EU or other projects under the umbrella of the ERUA alliance</w:t>
            </w:r>
          </w:p>
          <w:p w14:paraId="4F577896"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Increasing attractivity and competitiveness and contribution to addressing global societal challenges </w:t>
            </w:r>
          </w:p>
          <w:p w14:paraId="69B9F3F9"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Building critical mass on </w:t>
            </w:r>
            <w:proofErr w:type="spellStart"/>
            <w:r>
              <w:rPr>
                <w:rFonts w:ascii="Calibri" w:eastAsia="Calibri" w:hAnsi="Calibri" w:cs="Calibri"/>
                <w:sz w:val="16"/>
                <w:szCs w:val="16"/>
              </w:rPr>
              <w:t>specialised</w:t>
            </w:r>
            <w:proofErr w:type="spellEnd"/>
            <w:r>
              <w:rPr>
                <w:rFonts w:ascii="Calibri" w:eastAsia="Calibri" w:hAnsi="Calibri" w:cs="Calibri"/>
                <w:sz w:val="16"/>
                <w:szCs w:val="16"/>
              </w:rPr>
              <w:t xml:space="preserve"> topics</w:t>
            </w:r>
          </w:p>
          <w:p w14:paraId="1DD17D5D"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Solving societal problems for local communities and encouraging the integration of digital thinking, sustainability, inclusion, and aesthetics in new solutions and products in region</w:t>
            </w:r>
          </w:p>
        </w:tc>
      </w:tr>
      <w:tr w:rsidR="00C70F88" w14:paraId="5033AAAC" w14:textId="77777777">
        <w:tc>
          <w:tcPr>
            <w:tcW w:w="1920" w:type="dxa"/>
          </w:tcPr>
          <w:p w14:paraId="3DE835F1"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sz w:val="20"/>
                <w:szCs w:val="20"/>
              </w:rPr>
              <w:t>ERUA Technical and Administrative Staff</w:t>
            </w:r>
          </w:p>
        </w:tc>
        <w:tc>
          <w:tcPr>
            <w:tcW w:w="3465" w:type="dxa"/>
          </w:tcPr>
          <w:p w14:paraId="106A42BC"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Participation in the construction in the ERUA physical and digital community (WP4)</w:t>
            </w:r>
          </w:p>
          <w:p w14:paraId="578ED427"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Participation in mobility </w:t>
            </w:r>
            <w:proofErr w:type="spellStart"/>
            <w:r>
              <w:rPr>
                <w:rFonts w:ascii="Calibri" w:eastAsia="Calibri" w:hAnsi="Calibri" w:cs="Calibri"/>
                <w:sz w:val="16"/>
                <w:szCs w:val="16"/>
              </w:rPr>
              <w:t>programmes</w:t>
            </w:r>
            <w:proofErr w:type="spellEnd"/>
            <w:r>
              <w:rPr>
                <w:rFonts w:ascii="Calibri" w:eastAsia="Calibri" w:hAnsi="Calibri" w:cs="Calibri"/>
                <w:sz w:val="16"/>
                <w:szCs w:val="16"/>
              </w:rPr>
              <w:t xml:space="preserve"> and best practice exchanges (WP4)</w:t>
            </w:r>
          </w:p>
          <w:p w14:paraId="1D6DBC4E"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Participation in governance bodies (WP1)</w:t>
            </w:r>
          </w:p>
        </w:tc>
        <w:tc>
          <w:tcPr>
            <w:tcW w:w="3540" w:type="dxa"/>
          </w:tcPr>
          <w:p w14:paraId="15DDB18A"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Improve scope and personal qualification via mobility and exchange for personal growth</w:t>
            </w:r>
          </w:p>
          <w:p w14:paraId="74F0AD42"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Streamline and ease processes</w:t>
            </w:r>
          </w:p>
        </w:tc>
      </w:tr>
      <w:tr w:rsidR="00C70F88" w14:paraId="4133AC30" w14:textId="77777777">
        <w:tc>
          <w:tcPr>
            <w:tcW w:w="1920" w:type="dxa"/>
          </w:tcPr>
          <w:p w14:paraId="69275F53"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sz w:val="20"/>
                <w:szCs w:val="20"/>
              </w:rPr>
              <w:lastRenderedPageBreak/>
              <w:t>ERUA Associated Partners</w:t>
            </w:r>
          </w:p>
        </w:tc>
        <w:tc>
          <w:tcPr>
            <w:tcW w:w="3465" w:type="dxa"/>
          </w:tcPr>
          <w:p w14:paraId="2680E100"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Involvement of in co-created curricula (WP2)</w:t>
            </w:r>
          </w:p>
          <w:p w14:paraId="39447B6A"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Participation in joint research (WP3)</w:t>
            </w:r>
          </w:p>
          <w:p w14:paraId="133F771D"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Activities concerning the</w:t>
            </w:r>
          </w:p>
          <w:p w14:paraId="04C952B4"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w:t>
            </w:r>
            <w:r>
              <w:rPr>
                <w:rFonts w:ascii="Calibri" w:eastAsia="Calibri" w:hAnsi="Calibri" w:cs="Calibri"/>
                <w:sz w:val="16"/>
                <w:szCs w:val="16"/>
                <w:highlight w:val="white"/>
              </w:rPr>
              <w:t xml:space="preserve">Participation in activities </w:t>
            </w:r>
            <w:r w:rsidR="004D4CEC">
              <w:rPr>
                <w:rFonts w:ascii="Calibri" w:eastAsia="Calibri" w:hAnsi="Calibri" w:cs="Calibri"/>
                <w:sz w:val="16"/>
                <w:szCs w:val="16"/>
                <w:highlight w:val="white"/>
              </w:rPr>
              <w:t>&amp; initiatives</w:t>
            </w:r>
            <w:r>
              <w:rPr>
                <w:rFonts w:ascii="Calibri" w:eastAsia="Calibri" w:hAnsi="Calibri" w:cs="Calibri"/>
                <w:sz w:val="16"/>
                <w:szCs w:val="16"/>
                <w:highlight w:val="white"/>
              </w:rPr>
              <w:t xml:space="preserve"> for sustainability and creativity and expanding Creative and Interregional Knowledge Communities </w:t>
            </w:r>
            <w:r>
              <w:rPr>
                <w:rFonts w:ascii="Calibri" w:eastAsia="Calibri" w:hAnsi="Calibri" w:cs="Calibri"/>
                <w:sz w:val="16"/>
                <w:szCs w:val="16"/>
              </w:rPr>
              <w:t>(WP5)</w:t>
            </w:r>
          </w:p>
          <w:p w14:paraId="3A767B96"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Entrepreneurship </w:t>
            </w:r>
            <w:proofErr w:type="spellStart"/>
            <w:r>
              <w:rPr>
                <w:rFonts w:ascii="Calibri" w:eastAsia="Calibri" w:hAnsi="Calibri" w:cs="Calibri"/>
                <w:sz w:val="16"/>
                <w:szCs w:val="16"/>
              </w:rPr>
              <w:t>programmes</w:t>
            </w:r>
            <w:proofErr w:type="spellEnd"/>
            <w:r>
              <w:rPr>
                <w:rFonts w:ascii="Calibri" w:eastAsia="Calibri" w:hAnsi="Calibri" w:cs="Calibri"/>
                <w:sz w:val="16"/>
                <w:szCs w:val="16"/>
              </w:rPr>
              <w:t xml:space="preserve"> including internships (WP6)</w:t>
            </w:r>
          </w:p>
        </w:tc>
        <w:tc>
          <w:tcPr>
            <w:tcW w:w="3540" w:type="dxa"/>
          </w:tcPr>
          <w:p w14:paraId="6E700C2C"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Fostering regional development</w:t>
            </w:r>
          </w:p>
          <w:p w14:paraId="5B8FD64A"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Provide an academic basis for the specific needs of various communities</w:t>
            </w:r>
          </w:p>
          <w:p w14:paraId="381CBAB6"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Develop human capital at a regional level in particular</w:t>
            </w:r>
          </w:p>
        </w:tc>
      </w:tr>
      <w:tr w:rsidR="00C70F88" w14:paraId="42F04913" w14:textId="77777777">
        <w:tc>
          <w:tcPr>
            <w:tcW w:w="1920" w:type="dxa"/>
          </w:tcPr>
          <w:p w14:paraId="76617FA1" w14:textId="77777777" w:rsidR="00C70F88" w:rsidRDefault="00AC1128">
            <w:pPr>
              <w:spacing w:before="120" w:after="120"/>
              <w:ind w:right="4"/>
              <w:jc w:val="both"/>
              <w:rPr>
                <w:rFonts w:ascii="Calibri" w:eastAsia="Calibri" w:hAnsi="Calibri" w:cs="Calibri"/>
                <w:b/>
                <w:color w:val="000000"/>
                <w:sz w:val="20"/>
                <w:szCs w:val="20"/>
              </w:rPr>
            </w:pPr>
            <w:r>
              <w:rPr>
                <w:rFonts w:ascii="Calibri" w:eastAsia="Calibri" w:hAnsi="Calibri" w:cs="Calibri"/>
                <w:b/>
                <w:sz w:val="20"/>
                <w:szCs w:val="20"/>
              </w:rPr>
              <w:t>Other Higher Education Institutions</w:t>
            </w:r>
          </w:p>
        </w:tc>
        <w:tc>
          <w:tcPr>
            <w:tcW w:w="3465" w:type="dxa"/>
          </w:tcPr>
          <w:p w14:paraId="156A4DA9"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Joint events or collaborations with other European University alliances and HEIs (WP8)</w:t>
            </w:r>
          </w:p>
          <w:p w14:paraId="2A31FDC6"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Access to shared educational resources (WP2)</w:t>
            </w:r>
          </w:p>
          <w:p w14:paraId="5AE1634E"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highlight w:val="white"/>
              </w:rPr>
              <w:t>- Collaboration in activities for local communities and regions (WP5)</w:t>
            </w:r>
          </w:p>
        </w:tc>
        <w:tc>
          <w:tcPr>
            <w:tcW w:w="3540" w:type="dxa"/>
          </w:tcPr>
          <w:p w14:paraId="13AB8107"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xml:space="preserve">- Learning from ERUA’s experience </w:t>
            </w:r>
          </w:p>
          <w:p w14:paraId="3581AD47"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rPr>
              <w:t>- Enhancing ERUA’s capacity to disseminate knowledge and to collaborate with external partners and act as a role model</w:t>
            </w:r>
          </w:p>
          <w:p w14:paraId="4AE15E6D" w14:textId="77777777" w:rsidR="00C70F88" w:rsidRDefault="00AC1128">
            <w:pPr>
              <w:widowControl w:val="0"/>
              <w:ind w:right="4"/>
              <w:rPr>
                <w:rFonts w:ascii="Calibri" w:eastAsia="Calibri" w:hAnsi="Calibri" w:cs="Calibri"/>
                <w:sz w:val="16"/>
                <w:szCs w:val="16"/>
              </w:rPr>
            </w:pPr>
            <w:r>
              <w:rPr>
                <w:rFonts w:ascii="Calibri" w:eastAsia="Calibri" w:hAnsi="Calibri" w:cs="Calibri"/>
                <w:sz w:val="16"/>
                <w:szCs w:val="16"/>
                <w:highlight w:val="white"/>
              </w:rPr>
              <w:t>- Joint efforts to increase and achieve transformation and social change</w:t>
            </w:r>
          </w:p>
        </w:tc>
      </w:tr>
      <w:tr w:rsidR="00C70F88" w14:paraId="193F4F41" w14:textId="77777777">
        <w:tc>
          <w:tcPr>
            <w:tcW w:w="1920" w:type="dxa"/>
          </w:tcPr>
          <w:p w14:paraId="173030B3" w14:textId="77777777" w:rsidR="00C70F88" w:rsidRDefault="00AC1128">
            <w:pPr>
              <w:spacing w:before="120" w:after="120"/>
              <w:ind w:right="4"/>
              <w:jc w:val="both"/>
              <w:rPr>
                <w:rFonts w:ascii="Calibri" w:eastAsia="Calibri" w:hAnsi="Calibri" w:cs="Calibri"/>
                <w:color w:val="000000"/>
                <w:sz w:val="20"/>
                <w:szCs w:val="20"/>
              </w:rPr>
            </w:pPr>
            <w:r>
              <w:rPr>
                <w:rFonts w:ascii="Calibri" w:eastAsia="Calibri" w:hAnsi="Calibri" w:cs="Calibri"/>
                <w:b/>
                <w:sz w:val="20"/>
                <w:szCs w:val="20"/>
              </w:rPr>
              <w:t>The General Public</w:t>
            </w:r>
          </w:p>
        </w:tc>
        <w:tc>
          <w:tcPr>
            <w:tcW w:w="3465" w:type="dxa"/>
          </w:tcPr>
          <w:p w14:paraId="2EC911DA" w14:textId="77777777" w:rsidR="00C70F88" w:rsidRDefault="00AC1128">
            <w:pPr>
              <w:spacing w:before="120" w:after="120"/>
              <w:ind w:right="4"/>
              <w:jc w:val="both"/>
              <w:rPr>
                <w:rFonts w:ascii="Calibri" w:eastAsia="Calibri" w:hAnsi="Calibri" w:cs="Calibri"/>
                <w:color w:val="000000"/>
                <w:sz w:val="20"/>
                <w:szCs w:val="20"/>
              </w:rPr>
            </w:pPr>
            <w:r>
              <w:rPr>
                <w:rFonts w:ascii="Calibri" w:eastAsia="Calibri" w:hAnsi="Calibri" w:cs="Calibri"/>
                <w:sz w:val="16"/>
                <w:szCs w:val="16"/>
              </w:rPr>
              <w:t>- Open innovation initiatives and open digital events, Community-Based Participatory research for communities (</w:t>
            </w:r>
            <w:r>
              <w:rPr>
                <w:rFonts w:ascii="Calibri" w:eastAsia="Calibri" w:hAnsi="Calibri" w:cs="Calibri"/>
                <w:sz w:val="16"/>
                <w:szCs w:val="16"/>
                <w:highlight w:val="white"/>
              </w:rPr>
              <w:t>WP</w:t>
            </w:r>
            <w:r>
              <w:rPr>
                <w:rFonts w:ascii="Calibri" w:eastAsia="Calibri" w:hAnsi="Calibri" w:cs="Calibri"/>
                <w:sz w:val="16"/>
                <w:szCs w:val="16"/>
              </w:rPr>
              <w:t>5)</w:t>
            </w:r>
          </w:p>
        </w:tc>
        <w:tc>
          <w:tcPr>
            <w:tcW w:w="3540" w:type="dxa"/>
          </w:tcPr>
          <w:p w14:paraId="72BEB554" w14:textId="77777777" w:rsidR="00C70F88" w:rsidRDefault="00AC1128">
            <w:pPr>
              <w:spacing w:before="120" w:after="120"/>
              <w:ind w:right="4"/>
              <w:jc w:val="both"/>
              <w:rPr>
                <w:rFonts w:ascii="Calibri" w:eastAsia="Calibri" w:hAnsi="Calibri" w:cs="Calibri"/>
                <w:color w:val="000000"/>
                <w:sz w:val="20"/>
                <w:szCs w:val="20"/>
              </w:rPr>
            </w:pPr>
            <w:r>
              <w:rPr>
                <w:rFonts w:ascii="Calibri" w:eastAsia="Calibri" w:hAnsi="Calibri" w:cs="Calibri"/>
                <w:sz w:val="16"/>
                <w:szCs w:val="16"/>
              </w:rPr>
              <w:t>- Achieve social change in campus, communities and regions</w:t>
            </w:r>
          </w:p>
        </w:tc>
      </w:tr>
    </w:tbl>
    <w:p w14:paraId="2CD02E48" w14:textId="77777777" w:rsidR="00C70F88" w:rsidRDefault="00C70F88">
      <w:pPr>
        <w:spacing w:before="120" w:after="120"/>
        <w:ind w:right="237"/>
        <w:jc w:val="both"/>
        <w:rPr>
          <w:rFonts w:ascii="Calibri" w:eastAsia="Calibri" w:hAnsi="Calibri" w:cs="Calibri"/>
          <w:sz w:val="22"/>
          <w:szCs w:val="22"/>
        </w:rPr>
      </w:pPr>
    </w:p>
    <w:sectPr w:rsidR="00C70F88" w:rsidSect="00664E42">
      <w:pgSz w:w="11906" w:h="16838"/>
      <w:pgMar w:top="1276" w:right="1819" w:bottom="1440" w:left="1440"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F7026" w14:textId="77777777" w:rsidR="00CF44F1" w:rsidRDefault="00CF44F1">
      <w:r>
        <w:separator/>
      </w:r>
    </w:p>
  </w:endnote>
  <w:endnote w:type="continuationSeparator" w:id="0">
    <w:p w14:paraId="7DD993E7" w14:textId="77777777" w:rsidR="00CF44F1" w:rsidRDefault="00CF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3771" w14:textId="312C5D71" w:rsidR="00664E42" w:rsidRDefault="002F1087" w:rsidP="00664E42">
    <w:pPr>
      <w:pBdr>
        <w:top w:val="nil"/>
        <w:left w:val="nil"/>
        <w:bottom w:val="nil"/>
        <w:right w:val="nil"/>
        <w:between w:val="nil"/>
      </w:pBdr>
      <w:tabs>
        <w:tab w:val="center" w:pos="4513"/>
        <w:tab w:val="right" w:pos="9026"/>
      </w:tabs>
      <w:ind w:left="-1418" w:right="-1701"/>
      <w:rPr>
        <w:rFonts w:ascii="Calibri" w:eastAsia="Calibri" w:hAnsi="Calibri" w:cs="Calibri"/>
        <w:color w:val="000000"/>
        <w:sz w:val="16"/>
        <w:szCs w:val="16"/>
      </w:rPr>
    </w:pPr>
    <w:r w:rsidRPr="00885676">
      <w:rPr>
        <w:rFonts w:ascii="Arial" w:hAnsi="Arial" w:cs="Arial"/>
        <w:b/>
        <w:noProof/>
        <w:color w:val="AEAAAA" w:themeColor="background2" w:themeShade="BF"/>
        <w:sz w:val="16"/>
        <w:szCs w:val="16"/>
      </w:rPr>
      <mc:AlternateContent>
        <mc:Choice Requires="wps">
          <w:drawing>
            <wp:anchor distT="45720" distB="45720" distL="114300" distR="114300" simplePos="0" relativeHeight="251661312" behindDoc="1" locked="0" layoutInCell="1" allowOverlap="1" wp14:anchorId="0E09871A" wp14:editId="2F6D1C1E">
              <wp:simplePos x="0" y="0"/>
              <wp:positionH relativeFrom="page">
                <wp:align>right</wp:align>
              </wp:positionH>
              <wp:positionV relativeFrom="paragraph">
                <wp:posOffset>-369570</wp:posOffset>
              </wp:positionV>
              <wp:extent cx="7515225" cy="242125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2421254"/>
                      </a:xfrm>
                      <a:prstGeom prst="rect">
                        <a:avLst/>
                      </a:prstGeom>
                      <a:noFill/>
                      <a:ln w="9525">
                        <a:noFill/>
                        <a:miter lim="800000"/>
                        <a:headEnd/>
                        <a:tailEnd/>
                      </a:ln>
                    </wps:spPr>
                    <wps:txbx>
                      <w:txbxContent>
                        <w:p w14:paraId="096903DD" w14:textId="77777777" w:rsidR="002F1087" w:rsidRPr="00885676" w:rsidRDefault="002F1087" w:rsidP="002F1087">
                          <w:pPr>
                            <w:jc w:val="center"/>
                            <w:rPr>
                              <w:rFonts w:cstheme="minorHAnsi"/>
                              <w:color w:val="A6A6A6" w:themeColor="background1" w:themeShade="A6"/>
                              <w:spacing w:val="6"/>
                              <w:sz w:val="16"/>
                              <w:szCs w:val="16"/>
                            </w:rPr>
                          </w:pPr>
                          <w:r>
                            <w:rPr>
                              <w:rFonts w:ascii="Arial" w:hAnsi="Arial" w:cs="Arial"/>
                              <w:b/>
                              <w:noProof/>
                              <w:color w:val="AEAAAA" w:themeColor="background2" w:themeShade="BF"/>
                              <w:sz w:val="16"/>
                              <w:szCs w:val="16"/>
                            </w:rPr>
                            <w:drawing>
                              <wp:inline distT="0" distB="0" distL="0" distR="0" wp14:anchorId="1CC5F32E" wp14:editId="710EE088">
                                <wp:extent cx="641350" cy="344114"/>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16" cy="365880"/>
                                        </a:xfrm>
                                        <a:prstGeom prst="rect">
                                          <a:avLst/>
                                        </a:prstGeom>
                                        <a:noFill/>
                                        <a:ln>
                                          <a:noFill/>
                                        </a:ln>
                                      </pic:spPr>
                                    </pic:pic>
                                  </a:graphicData>
                                </a:graphic>
                              </wp:inline>
                            </w:drawing>
                          </w:r>
                          <w:r>
                            <w:rPr>
                              <w:rFonts w:cstheme="minorHAnsi"/>
                              <w:color w:val="A6A6A6" w:themeColor="background1" w:themeShade="A6"/>
                              <w:spacing w:val="6"/>
                              <w:sz w:val="16"/>
                              <w:szCs w:val="16"/>
                            </w:rPr>
                            <w:t xml:space="preserve">      </w:t>
                          </w:r>
                          <w:r>
                            <w:rPr>
                              <w:rFonts w:ascii="Arial" w:hAnsi="Arial" w:cs="Arial"/>
                              <w:b/>
                              <w:noProof/>
                              <w:color w:val="AEAAAA" w:themeColor="background2" w:themeShade="BF"/>
                              <w:sz w:val="16"/>
                              <w:szCs w:val="16"/>
                            </w:rPr>
                            <w:drawing>
                              <wp:inline distT="0" distB="0" distL="0" distR="0" wp14:anchorId="62C8C3C8" wp14:editId="4B0BAB98">
                                <wp:extent cx="381000" cy="381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cstheme="minorHAnsi"/>
                              <w:color w:val="A6A6A6" w:themeColor="background1" w:themeShade="A6"/>
                              <w:spacing w:val="6"/>
                              <w:sz w:val="16"/>
                              <w:szCs w:val="16"/>
                            </w:rPr>
                            <w:t xml:space="preserve"> </w:t>
                          </w:r>
                          <w:r>
                            <w:rPr>
                              <w:rFonts w:ascii="Arial" w:hAnsi="Arial" w:cs="Arial"/>
                              <w:b/>
                              <w:noProof/>
                              <w:color w:val="AEAAAA" w:themeColor="background2" w:themeShade="BF"/>
                              <w:sz w:val="16"/>
                              <w:szCs w:val="16"/>
                            </w:rPr>
                            <w:drawing>
                              <wp:inline distT="0" distB="0" distL="0" distR="0" wp14:anchorId="19C2BB31" wp14:editId="5E93F987">
                                <wp:extent cx="1104900" cy="40056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270" cy="415928"/>
                                        </a:xfrm>
                                        <a:prstGeom prst="rect">
                                          <a:avLst/>
                                        </a:prstGeom>
                                        <a:noFill/>
                                        <a:ln>
                                          <a:noFill/>
                                        </a:ln>
                                      </pic:spPr>
                                    </pic:pic>
                                  </a:graphicData>
                                </a:graphic>
                              </wp:inline>
                            </w:drawing>
                          </w:r>
                          <w:r>
                            <w:rPr>
                              <w:rFonts w:cstheme="minorHAnsi"/>
                              <w:noProof/>
                              <w:color w:val="A6A6A6" w:themeColor="background1" w:themeShade="A6"/>
                              <w:spacing w:val="6"/>
                              <w:sz w:val="16"/>
                              <w:szCs w:val="16"/>
                            </w:rPr>
                            <w:drawing>
                              <wp:inline distT="0" distB="0" distL="0" distR="0" wp14:anchorId="6DD888C1" wp14:editId="270356B7">
                                <wp:extent cx="876300" cy="380364"/>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PS_logo-1024x511.jpeg"/>
                                        <pic:cNvPicPr/>
                                      </pic:nvPicPr>
                                      <pic:blipFill rotWithShape="1">
                                        <a:blip r:embed="rId4">
                                          <a:extLst>
                                            <a:ext uri="{28A0092B-C50C-407E-A947-70E740481C1C}">
                                              <a14:useLocalDpi xmlns:a14="http://schemas.microsoft.com/office/drawing/2010/main" val="0"/>
                                            </a:ext>
                                          </a:extLst>
                                        </a:blip>
                                        <a:srcRect l="8025" t="11114" r="6790" b="14815"/>
                                        <a:stretch/>
                                      </pic:blipFill>
                                      <pic:spPr bwMode="auto">
                                        <a:xfrm>
                                          <a:off x="0" y="0"/>
                                          <a:ext cx="888478" cy="38565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46227509" wp14:editId="32F0A9D8">
                                <wp:extent cx="831850" cy="353294"/>
                                <wp:effectExtent l="0" t="0" r="635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_ulpgc_version_horizontal_positiva_de_uso_cotidiano_a_2_tintas-1024x535.png"/>
                                        <pic:cNvPicPr/>
                                      </pic:nvPicPr>
                                      <pic:blipFill rotWithShape="1">
                                        <a:blip r:embed="rId5">
                                          <a:extLst>
                                            <a:ext uri="{28A0092B-C50C-407E-A947-70E740481C1C}">
                                              <a14:useLocalDpi xmlns:a14="http://schemas.microsoft.com/office/drawing/2010/main" val="0"/>
                                            </a:ext>
                                          </a:extLst>
                                        </a:blip>
                                        <a:srcRect l="8180" t="16586" r="8269" b="15501"/>
                                        <a:stretch/>
                                      </pic:blipFill>
                                      <pic:spPr bwMode="auto">
                                        <a:xfrm>
                                          <a:off x="0" y="0"/>
                                          <a:ext cx="937663" cy="39823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55B0998F" wp14:editId="72FFF7D6">
                                <wp:extent cx="1342053" cy="3429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UNIMC_EN_ve.png"/>
                                        <pic:cNvPicPr/>
                                      </pic:nvPicPr>
                                      <pic:blipFill rotWithShape="1">
                                        <a:blip r:embed="rId6">
                                          <a:extLst>
                                            <a:ext uri="{28A0092B-C50C-407E-A947-70E740481C1C}">
                                              <a14:useLocalDpi xmlns:a14="http://schemas.microsoft.com/office/drawing/2010/main" val="0"/>
                                            </a:ext>
                                          </a:extLst>
                                        </a:blip>
                                        <a:srcRect l="4684" t="27897" r="3685" b="21863"/>
                                        <a:stretch/>
                                      </pic:blipFill>
                                      <pic:spPr bwMode="auto">
                                        <a:xfrm>
                                          <a:off x="0" y="0"/>
                                          <a:ext cx="1442816" cy="36864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60D3B45E" wp14:editId="34BB5C15">
                                <wp:extent cx="391252" cy="404813"/>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355" cy="441133"/>
                                        </a:xfrm>
                                        <a:prstGeom prst="rect">
                                          <a:avLst/>
                                        </a:prstGeom>
                                        <a:noFill/>
                                        <a:ln>
                                          <a:noFill/>
                                        </a:ln>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12C8549E" wp14:editId="2A62F3B6">
                                <wp:extent cx="546434" cy="391122"/>
                                <wp:effectExtent l="0" t="0" r="635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U_EN_vertikalus_spalvotas_RGB.png"/>
                                        <pic:cNvPicPr/>
                                      </pic:nvPicPr>
                                      <pic:blipFill>
                                        <a:blip r:embed="rId8">
                                          <a:extLst>
                                            <a:ext uri="{28A0092B-C50C-407E-A947-70E740481C1C}">
                                              <a14:useLocalDpi xmlns:a14="http://schemas.microsoft.com/office/drawing/2010/main" val="0"/>
                                            </a:ext>
                                          </a:extLst>
                                        </a:blip>
                                        <a:stretch>
                                          <a:fillRect/>
                                        </a:stretch>
                                      </pic:blipFill>
                                      <pic:spPr>
                                        <a:xfrm>
                                          <a:off x="0" y="0"/>
                                          <a:ext cx="587408" cy="4204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09871A" id="_x0000_t202" coordsize="21600,21600" o:spt="202" path="m,l,21600r21600,l21600,xe">
              <v:stroke joinstyle="miter"/>
              <v:path gradientshapeok="t" o:connecttype="rect"/>
            </v:shapetype>
            <v:shape id="Text Box 2" o:spid="_x0000_s1036" type="#_x0000_t202" style="position:absolute;left:0;text-align:left;margin-left:540.55pt;margin-top:-29.1pt;width:591.75pt;height:190.65pt;z-index:-25165516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" filled="f" stroked="f">
              <v:textbox style="mso-fit-shape-to-text:t">
                <w:txbxContent>
                  <w:p w14:paraId="096903DD" w14:textId="77777777" w:rsidR="002F1087" w:rsidRPr="00885676" w:rsidRDefault="002F1087" w:rsidP="002F1087">
                    <w:pPr>
                      <w:jc w:val="center"/>
                      <w:rPr>
                        <w:rFonts w:cstheme="minorHAnsi"/>
                        <w:color w:val="A6A6A6" w:themeColor="background1" w:themeShade="A6"/>
                        <w:spacing w:val="6"/>
                        <w:sz w:val="16"/>
                        <w:szCs w:val="16"/>
                      </w:rPr>
                    </w:pPr>
                    <w:r>
                      <w:rPr>
                        <w:rFonts w:ascii="Arial" w:hAnsi="Arial" w:cs="Arial"/>
                        <w:b/>
                        <w:noProof/>
                        <w:color w:val="AEAAAA" w:themeColor="background2" w:themeShade="BF"/>
                        <w:sz w:val="16"/>
                        <w:szCs w:val="16"/>
                      </w:rPr>
                      <w:drawing>
                        <wp:inline distT="0" distB="0" distL="0" distR="0" wp14:anchorId="1CC5F32E" wp14:editId="710EE088">
                          <wp:extent cx="641350" cy="344114"/>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16" cy="365880"/>
                                  </a:xfrm>
                                  <a:prstGeom prst="rect">
                                    <a:avLst/>
                                  </a:prstGeom>
                                  <a:noFill/>
                                  <a:ln>
                                    <a:noFill/>
                                  </a:ln>
                                </pic:spPr>
                              </pic:pic>
                            </a:graphicData>
                          </a:graphic>
                        </wp:inline>
                      </w:drawing>
                    </w:r>
                    <w:r>
                      <w:rPr>
                        <w:rFonts w:cstheme="minorHAnsi"/>
                        <w:color w:val="A6A6A6" w:themeColor="background1" w:themeShade="A6"/>
                        <w:spacing w:val="6"/>
                        <w:sz w:val="16"/>
                        <w:szCs w:val="16"/>
                      </w:rPr>
                      <w:t xml:space="preserve">      </w:t>
                    </w:r>
                    <w:r>
                      <w:rPr>
                        <w:rFonts w:ascii="Arial" w:hAnsi="Arial" w:cs="Arial"/>
                        <w:b/>
                        <w:noProof/>
                        <w:color w:val="AEAAAA" w:themeColor="background2" w:themeShade="BF"/>
                        <w:sz w:val="16"/>
                        <w:szCs w:val="16"/>
                      </w:rPr>
                      <w:drawing>
                        <wp:inline distT="0" distB="0" distL="0" distR="0" wp14:anchorId="62C8C3C8" wp14:editId="4B0BAB98">
                          <wp:extent cx="381000" cy="381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cstheme="minorHAnsi"/>
                        <w:color w:val="A6A6A6" w:themeColor="background1" w:themeShade="A6"/>
                        <w:spacing w:val="6"/>
                        <w:sz w:val="16"/>
                        <w:szCs w:val="16"/>
                      </w:rPr>
                      <w:t xml:space="preserve"> </w:t>
                    </w:r>
                    <w:r>
                      <w:rPr>
                        <w:rFonts w:ascii="Arial" w:hAnsi="Arial" w:cs="Arial"/>
                        <w:b/>
                        <w:noProof/>
                        <w:color w:val="AEAAAA" w:themeColor="background2" w:themeShade="BF"/>
                        <w:sz w:val="16"/>
                        <w:szCs w:val="16"/>
                      </w:rPr>
                      <w:drawing>
                        <wp:inline distT="0" distB="0" distL="0" distR="0" wp14:anchorId="19C2BB31" wp14:editId="5E93F987">
                          <wp:extent cx="1104900" cy="40056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270" cy="415928"/>
                                  </a:xfrm>
                                  <a:prstGeom prst="rect">
                                    <a:avLst/>
                                  </a:prstGeom>
                                  <a:noFill/>
                                  <a:ln>
                                    <a:noFill/>
                                  </a:ln>
                                </pic:spPr>
                              </pic:pic>
                            </a:graphicData>
                          </a:graphic>
                        </wp:inline>
                      </w:drawing>
                    </w:r>
                    <w:r>
                      <w:rPr>
                        <w:rFonts w:cstheme="minorHAnsi"/>
                        <w:noProof/>
                        <w:color w:val="A6A6A6" w:themeColor="background1" w:themeShade="A6"/>
                        <w:spacing w:val="6"/>
                        <w:sz w:val="16"/>
                        <w:szCs w:val="16"/>
                      </w:rPr>
                      <w:drawing>
                        <wp:inline distT="0" distB="0" distL="0" distR="0" wp14:anchorId="6DD888C1" wp14:editId="270356B7">
                          <wp:extent cx="876300" cy="380364"/>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PS_logo-1024x511.jpeg"/>
                                  <pic:cNvPicPr/>
                                </pic:nvPicPr>
                                <pic:blipFill rotWithShape="1">
                                  <a:blip r:embed="rId4">
                                    <a:extLst>
                                      <a:ext uri="{28A0092B-C50C-407E-A947-70E740481C1C}">
                                        <a14:useLocalDpi xmlns:a14="http://schemas.microsoft.com/office/drawing/2010/main" val="0"/>
                                      </a:ext>
                                    </a:extLst>
                                  </a:blip>
                                  <a:srcRect l="8025" t="11114" r="6790" b="14815"/>
                                  <a:stretch/>
                                </pic:blipFill>
                                <pic:spPr bwMode="auto">
                                  <a:xfrm>
                                    <a:off x="0" y="0"/>
                                    <a:ext cx="888478" cy="38565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46227509" wp14:editId="32F0A9D8">
                          <wp:extent cx="831850" cy="353294"/>
                          <wp:effectExtent l="0" t="0" r="635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_ulpgc_version_horizontal_positiva_de_uso_cotidiano_a_2_tintas-1024x535.png"/>
                                  <pic:cNvPicPr/>
                                </pic:nvPicPr>
                                <pic:blipFill rotWithShape="1">
                                  <a:blip r:embed="rId5">
                                    <a:extLst>
                                      <a:ext uri="{28A0092B-C50C-407E-A947-70E740481C1C}">
                                        <a14:useLocalDpi xmlns:a14="http://schemas.microsoft.com/office/drawing/2010/main" val="0"/>
                                      </a:ext>
                                    </a:extLst>
                                  </a:blip>
                                  <a:srcRect l="8180" t="16586" r="8269" b="15501"/>
                                  <a:stretch/>
                                </pic:blipFill>
                                <pic:spPr bwMode="auto">
                                  <a:xfrm>
                                    <a:off x="0" y="0"/>
                                    <a:ext cx="937663" cy="39823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55B0998F" wp14:editId="72FFF7D6">
                          <wp:extent cx="1342053" cy="3429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UNIMC_EN_ve.png"/>
                                  <pic:cNvPicPr/>
                                </pic:nvPicPr>
                                <pic:blipFill rotWithShape="1">
                                  <a:blip r:embed="rId6">
                                    <a:extLst>
                                      <a:ext uri="{28A0092B-C50C-407E-A947-70E740481C1C}">
                                        <a14:useLocalDpi xmlns:a14="http://schemas.microsoft.com/office/drawing/2010/main" val="0"/>
                                      </a:ext>
                                    </a:extLst>
                                  </a:blip>
                                  <a:srcRect l="4684" t="27897" r="3685" b="21863"/>
                                  <a:stretch/>
                                </pic:blipFill>
                                <pic:spPr bwMode="auto">
                                  <a:xfrm>
                                    <a:off x="0" y="0"/>
                                    <a:ext cx="1442816" cy="36864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60D3B45E" wp14:editId="34BB5C15">
                          <wp:extent cx="391252" cy="404813"/>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355" cy="441133"/>
                                  </a:xfrm>
                                  <a:prstGeom prst="rect">
                                    <a:avLst/>
                                  </a:prstGeom>
                                  <a:noFill/>
                                  <a:ln>
                                    <a:noFill/>
                                  </a:ln>
                                </pic:spPr>
                              </pic:pic>
                            </a:graphicData>
                          </a:graphic>
                        </wp:inline>
                      </w:drawing>
                    </w:r>
                    <w:r>
                      <w:rPr>
                        <w:rFonts w:cstheme="minorHAnsi"/>
                        <w:color w:val="A6A6A6" w:themeColor="background1" w:themeShade="A6"/>
                        <w:spacing w:val="6"/>
                        <w:sz w:val="16"/>
                        <w:szCs w:val="16"/>
                      </w:rPr>
                      <w:t xml:space="preserve">     </w:t>
                    </w:r>
                    <w:r>
                      <w:rPr>
                        <w:rFonts w:cstheme="minorHAnsi"/>
                        <w:noProof/>
                        <w:color w:val="A6A6A6" w:themeColor="background1" w:themeShade="A6"/>
                        <w:spacing w:val="6"/>
                        <w:sz w:val="16"/>
                        <w:szCs w:val="16"/>
                      </w:rPr>
                      <w:drawing>
                        <wp:inline distT="0" distB="0" distL="0" distR="0" wp14:anchorId="12C8549E" wp14:editId="2A62F3B6">
                          <wp:extent cx="546434" cy="391122"/>
                          <wp:effectExtent l="0" t="0" r="635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U_EN_vertikalus_spalvotas_RGB.png"/>
                                  <pic:cNvPicPr/>
                                </pic:nvPicPr>
                                <pic:blipFill>
                                  <a:blip r:embed="rId8">
                                    <a:extLst>
                                      <a:ext uri="{28A0092B-C50C-407E-A947-70E740481C1C}">
                                        <a14:useLocalDpi xmlns:a14="http://schemas.microsoft.com/office/drawing/2010/main" val="0"/>
                                      </a:ext>
                                    </a:extLst>
                                  </a:blip>
                                  <a:stretch>
                                    <a:fillRect/>
                                  </a:stretch>
                                </pic:blipFill>
                                <pic:spPr>
                                  <a:xfrm>
                                    <a:off x="0" y="0"/>
                                    <a:ext cx="587408" cy="420450"/>
                                  </a:xfrm>
                                  <a:prstGeom prst="rect">
                                    <a:avLst/>
                                  </a:prstGeom>
                                </pic:spPr>
                              </pic:pic>
                            </a:graphicData>
                          </a:graphic>
                        </wp:inline>
                      </w:drawing>
                    </w:r>
                  </w:p>
                </w:txbxContent>
              </v:textbox>
              <w10:wrap anchorx="page"/>
            </v:shape>
          </w:pict>
        </mc:Fallback>
      </mc:AlternateContent>
    </w:r>
  </w:p>
  <w:p w14:paraId="3585BC53" w14:textId="77777777" w:rsidR="00C70F88" w:rsidRDefault="00AC1128">
    <w:pPr>
      <w:pBdr>
        <w:top w:val="nil"/>
        <w:left w:val="nil"/>
        <w:bottom w:val="nil"/>
        <w:right w:val="nil"/>
        <w:between w:val="nil"/>
      </w:pBdr>
      <w:tabs>
        <w:tab w:val="center" w:pos="4513"/>
        <w:tab w:val="right" w:pos="9026"/>
      </w:tabs>
      <w:jc w:val="center"/>
      <w:rPr>
        <w:rFonts w:ascii="Calibri" w:eastAsia="Calibri" w:hAnsi="Calibri" w:cs="Calibri"/>
        <w:color w:val="000000"/>
        <w:sz w:val="16"/>
        <w:szCs w:val="16"/>
      </w:rPr>
    </w:pPr>
    <w:r>
      <w:rPr>
        <w:rFonts w:ascii="Calibri" w:eastAsia="Calibri" w:hAnsi="Calibri" w:cs="Calibri"/>
        <w:color w:val="000000"/>
        <w:sz w:val="16"/>
        <w:szCs w:val="16"/>
      </w:rPr>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664E42">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of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sidR="00664E42">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14:paraId="6696808F" w14:textId="77777777" w:rsidR="00C70F88" w:rsidRDefault="00C70F8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A7950" w14:textId="77777777" w:rsidR="00CF44F1" w:rsidRDefault="00CF44F1">
      <w:r>
        <w:separator/>
      </w:r>
    </w:p>
  </w:footnote>
  <w:footnote w:type="continuationSeparator" w:id="0">
    <w:p w14:paraId="05F6CF13" w14:textId="77777777" w:rsidR="00CF44F1" w:rsidRDefault="00CF4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3308A" w14:textId="77777777" w:rsidR="00C70F88" w:rsidRDefault="00664E42" w:rsidP="00664E42">
    <w:pPr>
      <w:pBdr>
        <w:top w:val="nil"/>
        <w:left w:val="nil"/>
        <w:bottom w:val="nil"/>
        <w:right w:val="nil"/>
        <w:between w:val="nil"/>
      </w:pBdr>
      <w:tabs>
        <w:tab w:val="center" w:pos="4513"/>
        <w:tab w:val="right" w:pos="9026"/>
        <w:tab w:val="left" w:pos="5407"/>
      </w:tabs>
      <w:rPr>
        <w:rFonts w:ascii="Calibri" w:eastAsia="Calibri" w:hAnsi="Calibri" w:cs="Calibri"/>
        <w:color w:val="000000"/>
        <w:sz w:val="16"/>
        <w:szCs w:val="16"/>
      </w:rPr>
    </w:pPr>
    <w:r w:rsidRPr="009B1C10">
      <w:rPr>
        <w:noProof/>
      </w:rPr>
      <w:drawing>
        <wp:anchor distT="0" distB="0" distL="114300" distR="114300" simplePos="0" relativeHeight="251659264" behindDoc="1" locked="0" layoutInCell="1" allowOverlap="1" wp14:anchorId="5564FF92" wp14:editId="1EAD5989">
          <wp:simplePos x="0" y="0"/>
          <wp:positionH relativeFrom="margin">
            <wp:posOffset>0</wp:posOffset>
          </wp:positionH>
          <wp:positionV relativeFrom="paragraph">
            <wp:posOffset>123190</wp:posOffset>
          </wp:positionV>
          <wp:extent cx="2210435" cy="303530"/>
          <wp:effectExtent l="0" t="0" r="0" b="1270"/>
          <wp:wrapSquare wrapText="bothSides"/>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5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0435" cy="3035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004B"/>
    <w:multiLevelType w:val="multilevel"/>
    <w:tmpl w:val="DA5EEC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F88"/>
    <w:rsid w:val="001B43F7"/>
    <w:rsid w:val="002F1087"/>
    <w:rsid w:val="004D4CEC"/>
    <w:rsid w:val="00664E42"/>
    <w:rsid w:val="00AC1128"/>
    <w:rsid w:val="00C70F88"/>
    <w:rsid w:val="00CF4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4409C"/>
  <w15:docId w15:val="{92A65729-8754-4DD4-BE4A-DB773FAA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4109"/>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C54FE"/>
    <w:pPr>
      <w:spacing w:before="100" w:beforeAutospacing="1" w:after="100" w:afterAutospacing="1"/>
    </w:pPr>
  </w:style>
  <w:style w:type="paragraph" w:styleId="Paragraphedeliste">
    <w:name w:val="List Paragraph"/>
    <w:basedOn w:val="Normal"/>
    <w:uiPriority w:val="34"/>
    <w:qFormat/>
    <w:rsid w:val="003B4B27"/>
    <w:pPr>
      <w:ind w:left="720"/>
      <w:contextualSpacing/>
    </w:pPr>
  </w:style>
  <w:style w:type="character" w:customStyle="1" w:styleId="markedcontent">
    <w:name w:val="markedcontent"/>
    <w:basedOn w:val="Policepardfaut"/>
    <w:rsid w:val="003B4B27"/>
  </w:style>
  <w:style w:type="table" w:styleId="Grilledutableau">
    <w:name w:val="Table Grid"/>
    <w:basedOn w:val="TableauNormal"/>
    <w:uiPriority w:val="39"/>
    <w:rsid w:val="00216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216CF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1Clair-Accentuation5">
    <w:name w:val="Grid Table 1 Light Accent 5"/>
    <w:basedOn w:val="TableauNormal"/>
    <w:uiPriority w:val="46"/>
    <w:rsid w:val="00216CF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6Couleur-Accentuation5">
    <w:name w:val="Grid Table 6 Colorful Accent 5"/>
    <w:basedOn w:val="TableauNormal"/>
    <w:uiPriority w:val="51"/>
    <w:rsid w:val="00216CFA"/>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simple5">
    <w:name w:val="Plain Table 5"/>
    <w:basedOn w:val="TableauNormal"/>
    <w:uiPriority w:val="45"/>
    <w:rsid w:val="00216CF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Accentuation1">
    <w:name w:val="Grid Table 1 Light Accent 1"/>
    <w:basedOn w:val="TableauNormal"/>
    <w:uiPriority w:val="46"/>
    <w:rsid w:val="00216CF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B54D11"/>
    <w:rPr>
      <w:sz w:val="16"/>
      <w:szCs w:val="16"/>
    </w:rPr>
  </w:style>
  <w:style w:type="character" w:styleId="Accentuation">
    <w:name w:val="Emphasis"/>
    <w:basedOn w:val="Policepardfaut"/>
    <w:uiPriority w:val="20"/>
    <w:qFormat/>
    <w:rsid w:val="003B610D"/>
    <w:rPr>
      <w:i/>
      <w:iCs/>
    </w:rPr>
  </w:style>
  <w:style w:type="character" w:customStyle="1" w:styleId="apple-converted-space">
    <w:name w:val="apple-converted-space"/>
    <w:basedOn w:val="Policepardfaut"/>
    <w:rsid w:val="00A25832"/>
  </w:style>
  <w:style w:type="paragraph" w:styleId="En-tte">
    <w:name w:val="header"/>
    <w:basedOn w:val="Normal"/>
    <w:link w:val="En-tteCar"/>
    <w:uiPriority w:val="99"/>
    <w:unhideWhenUsed/>
    <w:rsid w:val="00907E7A"/>
    <w:pPr>
      <w:tabs>
        <w:tab w:val="center" w:pos="4513"/>
        <w:tab w:val="right" w:pos="9026"/>
      </w:tabs>
    </w:pPr>
  </w:style>
  <w:style w:type="character" w:customStyle="1" w:styleId="En-tteCar">
    <w:name w:val="En-tête Car"/>
    <w:basedOn w:val="Policepardfaut"/>
    <w:link w:val="En-tte"/>
    <w:uiPriority w:val="99"/>
    <w:rsid w:val="00907E7A"/>
    <w:rPr>
      <w:rFonts w:ascii="Times New Roman" w:eastAsia="Times New Roman" w:hAnsi="Times New Roman" w:cs="Times New Roman"/>
      <w:lang w:eastAsia="en-GB"/>
    </w:rPr>
  </w:style>
  <w:style w:type="paragraph" w:styleId="Pieddepage">
    <w:name w:val="footer"/>
    <w:basedOn w:val="Normal"/>
    <w:link w:val="PieddepageCar"/>
    <w:uiPriority w:val="99"/>
    <w:unhideWhenUsed/>
    <w:rsid w:val="00907E7A"/>
    <w:pPr>
      <w:tabs>
        <w:tab w:val="center" w:pos="4513"/>
        <w:tab w:val="right" w:pos="9026"/>
      </w:tabs>
    </w:pPr>
  </w:style>
  <w:style w:type="character" w:customStyle="1" w:styleId="PieddepageCar">
    <w:name w:val="Pied de page Car"/>
    <w:basedOn w:val="Policepardfaut"/>
    <w:link w:val="Pieddepage"/>
    <w:uiPriority w:val="99"/>
    <w:rsid w:val="00907E7A"/>
    <w:rPr>
      <w:rFonts w:ascii="Times New Roman" w:eastAsia="Times New Roman" w:hAnsi="Times New Roman" w:cs="Times New Roman"/>
      <w:lang w:eastAsia="en-GB"/>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rPr>
      <w:color w:val="2E75B5"/>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0">
    <w:basedOn w:val="Tableau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XwKwaUmir20HnrTNEUpDmg8TA==">AMUW2mV2+SnCI2dVLkuII4immRmwl2aZedXXj/0U/QZqeMdfLQdlcarUyDLtD6kO8/b7oQNFwA2fB3FAnFHrunpy8svSOfEFH2QpMcu10LKxpOV/3PJ2VPU=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1776</Words>
  <Characters>9772</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université paris8</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Vives Prat</dc:creator>
  <cp:lastModifiedBy>Rudward Akueson</cp:lastModifiedBy>
  <cp:revision>5</cp:revision>
  <cp:lastPrinted>2023-02-06T10:01:00Z</cp:lastPrinted>
  <dcterms:created xsi:type="dcterms:W3CDTF">2023-02-05T19:06:00Z</dcterms:created>
  <dcterms:modified xsi:type="dcterms:W3CDTF">2023-02-06T10:02:00Z</dcterms:modified>
</cp:coreProperties>
</file>